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D1447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265" w:rsidRDefault="00D1447A">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C05265" w:rsidRDefault="00D1447A">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 xml:space="preserve">To: </w:t>
      </w:r>
      <w:r w:rsidR="00D7667C">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D2B23">
        <w:rPr>
          <w:rFonts w:cs="Arial"/>
          <w:b/>
          <w:bCs/>
        </w:rPr>
        <w:t xml:space="preserve"> </w:t>
      </w:r>
      <w:r w:rsidR="00D7667C">
        <w:rPr>
          <w:rFonts w:cs="Arial"/>
          <w:b/>
          <w:bCs/>
        </w:rPr>
        <w:tab/>
      </w:r>
      <w:r w:rsidR="00ED2B23">
        <w:rPr>
          <w:rFonts w:cs="Arial"/>
          <w:b/>
          <w:bCs/>
        </w:rPr>
        <w:t>10 September 2014</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ED2B23">
      <w:pPr>
        <w:rPr>
          <w:rFonts w:cs="Arial"/>
          <w:b/>
          <w:bCs/>
        </w:rPr>
      </w:pPr>
      <w:r>
        <w:rPr>
          <w:rFonts w:cs="Arial"/>
          <w:b/>
          <w:bCs/>
        </w:rPr>
        <w:t xml:space="preserve">Report of: </w:t>
      </w:r>
      <w:r w:rsidR="00D7667C">
        <w:rPr>
          <w:rFonts w:cs="Arial"/>
          <w:b/>
          <w:bCs/>
        </w:rPr>
        <w:tab/>
      </w:r>
      <w:r w:rsidR="00D7667C">
        <w:rPr>
          <w:rFonts w:cs="Arial"/>
          <w:b/>
          <w:bCs/>
        </w:rPr>
        <w:tab/>
      </w:r>
      <w:r>
        <w:rPr>
          <w:rFonts w:cs="Arial"/>
          <w:b/>
          <w:bCs/>
        </w:rPr>
        <w:t>Head of Customer Services</w:t>
      </w:r>
    </w:p>
    <w:p w:rsidR="00F4367A" w:rsidRDefault="00F4367A">
      <w:pPr>
        <w:tabs>
          <w:tab w:val="left" w:pos="2160"/>
        </w:tabs>
        <w:rPr>
          <w:rFonts w:cs="Arial"/>
          <w:b/>
          <w:bCs/>
        </w:rPr>
      </w:pPr>
    </w:p>
    <w:p w:rsidR="00F4367A" w:rsidRPr="000E3F72" w:rsidRDefault="00F4367A">
      <w:pPr>
        <w:tabs>
          <w:tab w:val="left" w:pos="2160"/>
        </w:tabs>
        <w:rPr>
          <w:rFonts w:cs="Arial"/>
          <w:b/>
          <w:bCs/>
        </w:rPr>
      </w:pPr>
      <w:r>
        <w:rPr>
          <w:rFonts w:cs="Arial"/>
          <w:b/>
          <w:bCs/>
        </w:rPr>
        <w:t xml:space="preserve">Title of Report: </w:t>
      </w:r>
      <w:r w:rsidR="00D7667C">
        <w:rPr>
          <w:rFonts w:cs="Arial"/>
          <w:b/>
          <w:bCs/>
        </w:rPr>
        <w:tab/>
      </w:r>
      <w:r w:rsidR="00D7667C" w:rsidRPr="00D7667C">
        <w:rPr>
          <w:rFonts w:cs="Arial"/>
          <w:b/>
          <w:bCs/>
        </w:rPr>
        <w:t>Commissioning Advice Services 2015-18</w:t>
      </w:r>
      <w:r w:rsidRPr="000E3F72">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275FD3">
        <w:rPr>
          <w:rFonts w:cs="Arial"/>
        </w:rPr>
        <w:t xml:space="preserve">To seek approval of </w:t>
      </w:r>
      <w:r w:rsidR="000A2992">
        <w:rPr>
          <w:rFonts w:cs="Arial"/>
        </w:rPr>
        <w:t>a</w:t>
      </w:r>
      <w:r w:rsidR="00275FD3">
        <w:rPr>
          <w:rFonts w:cs="Arial"/>
        </w:rPr>
        <w:t xml:space="preserve"> new service specif</w:t>
      </w:r>
      <w:r w:rsidR="008815EF">
        <w:rPr>
          <w:rFonts w:cs="Arial"/>
        </w:rPr>
        <w:t>ication for commission</w:t>
      </w:r>
      <w:r w:rsidR="000A2992">
        <w:rPr>
          <w:rFonts w:cs="Arial"/>
        </w:rPr>
        <w:t>ing</w:t>
      </w:r>
      <w:r w:rsidR="008815EF">
        <w:rPr>
          <w:rFonts w:cs="Arial"/>
        </w:rPr>
        <w:t xml:space="preserve"> advice</w:t>
      </w:r>
      <w:r w:rsidR="000A2992">
        <w:rPr>
          <w:rFonts w:cs="Arial"/>
        </w:rPr>
        <w:t xml:space="preserve"> services.</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D75B53">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BC2E3B">
      <w:pPr>
        <w:pBdr>
          <w:top w:val="single" w:sz="4" w:space="1" w:color="auto"/>
          <w:left w:val="single" w:sz="4" w:space="4" w:color="auto"/>
          <w:bottom w:val="single" w:sz="4" w:space="1" w:color="auto"/>
          <w:right w:val="single" w:sz="4" w:space="4" w:color="auto"/>
        </w:pBdr>
        <w:rPr>
          <w:color w:val="000000"/>
        </w:rPr>
      </w:pPr>
      <w:r>
        <w:rPr>
          <w:rFonts w:cs="Arial"/>
          <w:b/>
          <w:bCs/>
        </w:rPr>
        <w:t xml:space="preserve">Executive lead member: </w:t>
      </w:r>
      <w:r w:rsidR="00D7667C" w:rsidRPr="00D7667C">
        <w:rPr>
          <w:rFonts w:cs="Arial"/>
          <w:bCs/>
        </w:rPr>
        <w:t xml:space="preserve">Cllr </w:t>
      </w:r>
      <w:r w:rsidR="00275FD3" w:rsidRPr="00D7667C">
        <w:rPr>
          <w:rFonts w:cs="Arial"/>
          <w:bCs/>
        </w:rPr>
        <w:t xml:space="preserve">Susan </w:t>
      </w:r>
      <w:r w:rsidR="00BC2E3B" w:rsidRPr="00D7667C">
        <w:rPr>
          <w:rFonts w:cs="Arial"/>
          <w:bCs/>
        </w:rPr>
        <w:t>Brown</w:t>
      </w:r>
      <w:r w:rsidR="00D7667C" w:rsidRPr="00D7667C">
        <w:rPr>
          <w:rFonts w:cs="Arial"/>
          <w:bCs/>
        </w:rPr>
        <w:t xml:space="preserve">, </w:t>
      </w:r>
      <w:r w:rsidR="00D7667C">
        <w:rPr>
          <w:rFonts w:cs="Arial"/>
          <w:bCs/>
        </w:rPr>
        <w:t xml:space="preserve">Board Member for </w:t>
      </w:r>
      <w:r w:rsidR="00BC2E3B">
        <w:rPr>
          <w:color w:val="000000"/>
        </w:rPr>
        <w:t>Customer Services and Social Inclusion</w:t>
      </w:r>
    </w:p>
    <w:p w:rsidR="00D7667C" w:rsidRDefault="00D7667C" w:rsidP="00BC2E3B">
      <w:pPr>
        <w:pBdr>
          <w:top w:val="single" w:sz="4" w:space="1" w:color="auto"/>
          <w:left w:val="single" w:sz="4" w:space="4" w:color="auto"/>
          <w:bottom w:val="single" w:sz="4" w:space="1" w:color="auto"/>
          <w:right w:val="single" w:sz="4" w:space="4" w:color="auto"/>
        </w:pBdr>
      </w:pPr>
    </w:p>
    <w:p w:rsidR="00F4367A" w:rsidRPr="00D7667C"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0A2992" w:rsidRPr="00D7667C">
        <w:rPr>
          <w:rFonts w:cs="Arial"/>
          <w:bCs/>
        </w:rPr>
        <w:t>Financial Inclusion Strategy</w:t>
      </w:r>
    </w:p>
    <w:p w:rsidR="00F4367A" w:rsidRDefault="00F4367A">
      <w:pPr>
        <w:pStyle w:val="Heading1"/>
        <w:pBdr>
          <w:top w:val="single" w:sz="4" w:space="1" w:color="auto"/>
          <w:left w:val="single" w:sz="4" w:space="4" w:color="auto"/>
          <w:bottom w:val="single" w:sz="4" w:space="1" w:color="auto"/>
          <w:right w:val="single" w:sz="4" w:space="4" w:color="auto"/>
        </w:pBdr>
      </w:pPr>
    </w:p>
    <w:p w:rsidR="00E762DE" w:rsidRDefault="00D7667C">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Recommendations</w:t>
      </w:r>
      <w:r w:rsidR="00275FD3">
        <w:rPr>
          <w:rFonts w:cs="Arial"/>
          <w:b/>
        </w:rPr>
        <w:t xml:space="preserve">: </w:t>
      </w:r>
    </w:p>
    <w:p w:rsidR="00E762DE" w:rsidRDefault="00E762DE">
      <w:pPr>
        <w:pBdr>
          <w:top w:val="single" w:sz="4" w:space="1" w:color="auto"/>
          <w:left w:val="single" w:sz="4" w:space="4" w:color="auto"/>
          <w:bottom w:val="single" w:sz="4" w:space="1" w:color="auto"/>
          <w:right w:val="single" w:sz="4" w:space="4" w:color="auto"/>
        </w:pBdr>
        <w:tabs>
          <w:tab w:val="left" w:pos="3048"/>
        </w:tabs>
        <w:rPr>
          <w:rFonts w:cs="Arial"/>
          <w:b/>
        </w:rPr>
      </w:pPr>
    </w:p>
    <w:p w:rsidR="00E762DE" w:rsidRDefault="00D7667C">
      <w:pPr>
        <w:pBdr>
          <w:top w:val="single" w:sz="4" w:space="1" w:color="auto"/>
          <w:left w:val="single" w:sz="4" w:space="4" w:color="auto"/>
          <w:bottom w:val="single" w:sz="4" w:space="1" w:color="auto"/>
          <w:right w:val="single" w:sz="4" w:space="4" w:color="auto"/>
        </w:pBdr>
        <w:tabs>
          <w:tab w:val="left" w:pos="3048"/>
        </w:tabs>
        <w:rPr>
          <w:rFonts w:cs="Arial"/>
        </w:rPr>
      </w:pPr>
      <w:r w:rsidRPr="00D7667C">
        <w:rPr>
          <w:rFonts w:cs="Arial"/>
        </w:rPr>
        <w:t>That the City Executive Board</w:t>
      </w:r>
      <w:r w:rsidR="00E762DE">
        <w:rPr>
          <w:rFonts w:cs="Arial"/>
        </w:rPr>
        <w:t>:</w:t>
      </w:r>
    </w:p>
    <w:p w:rsidR="00E762DE" w:rsidRDefault="00E762DE">
      <w:pPr>
        <w:pBdr>
          <w:top w:val="single" w:sz="4" w:space="1" w:color="auto"/>
          <w:left w:val="single" w:sz="4" w:space="4" w:color="auto"/>
          <w:bottom w:val="single" w:sz="4" w:space="1" w:color="auto"/>
          <w:right w:val="single" w:sz="4" w:space="4" w:color="auto"/>
        </w:pBdr>
        <w:tabs>
          <w:tab w:val="left" w:pos="3048"/>
        </w:tabs>
        <w:rPr>
          <w:rFonts w:cs="Arial"/>
        </w:rPr>
      </w:pPr>
    </w:p>
    <w:p w:rsidR="00F4367A" w:rsidRDefault="00E762DE">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1. </w:t>
      </w:r>
      <w:r w:rsidR="00275FD3" w:rsidRPr="00D7667C">
        <w:rPr>
          <w:rFonts w:cs="Arial"/>
        </w:rPr>
        <w:t xml:space="preserve"> </w:t>
      </w:r>
      <w:r>
        <w:rPr>
          <w:rFonts w:cs="Arial"/>
        </w:rPr>
        <w:t>A</w:t>
      </w:r>
      <w:r w:rsidRPr="00D7667C">
        <w:rPr>
          <w:rFonts w:cs="Arial"/>
        </w:rPr>
        <w:t xml:space="preserve">pprove </w:t>
      </w:r>
      <w:r w:rsidR="00275FD3" w:rsidRPr="00D7667C">
        <w:rPr>
          <w:rFonts w:cs="Arial"/>
        </w:rPr>
        <w:t xml:space="preserve">the </w:t>
      </w:r>
      <w:r w:rsidR="00D7667C" w:rsidRPr="00D7667C">
        <w:rPr>
          <w:rFonts w:cs="Arial"/>
        </w:rPr>
        <w:t>s</w:t>
      </w:r>
      <w:r w:rsidR="00275FD3" w:rsidRPr="00D7667C">
        <w:rPr>
          <w:rFonts w:cs="Arial"/>
        </w:rPr>
        <w:t>pecification for commission</w:t>
      </w:r>
      <w:r w:rsidR="000A2992" w:rsidRPr="00D7667C">
        <w:rPr>
          <w:rFonts w:cs="Arial"/>
        </w:rPr>
        <w:t>ing</w:t>
      </w:r>
      <w:r w:rsidR="00275FD3" w:rsidRPr="00D7667C">
        <w:rPr>
          <w:rFonts w:cs="Arial"/>
        </w:rPr>
        <w:t xml:space="preserve"> advice</w:t>
      </w:r>
      <w:r w:rsidR="000A2992" w:rsidRPr="00D7667C">
        <w:rPr>
          <w:rFonts w:cs="Arial"/>
        </w:rPr>
        <w:t xml:space="preserve"> services</w:t>
      </w:r>
      <w:r w:rsidR="00275FD3" w:rsidRPr="00D7667C">
        <w:rPr>
          <w:rFonts w:cs="Arial"/>
        </w:rPr>
        <w:t xml:space="preserve"> </w:t>
      </w:r>
      <w:r w:rsidR="000E3F72" w:rsidRPr="00D7667C">
        <w:rPr>
          <w:rFonts w:cs="Arial"/>
        </w:rPr>
        <w:t xml:space="preserve">as set out </w:t>
      </w:r>
      <w:r w:rsidR="008815EF" w:rsidRPr="00D7667C">
        <w:rPr>
          <w:rFonts w:cs="Arial"/>
        </w:rPr>
        <w:t>in Appendi</w:t>
      </w:r>
      <w:r w:rsidR="000A2992" w:rsidRPr="00D7667C">
        <w:rPr>
          <w:rFonts w:cs="Arial"/>
        </w:rPr>
        <w:t>x 1</w:t>
      </w:r>
      <w:r w:rsidR="00D75B53">
        <w:rPr>
          <w:rFonts w:cs="Arial"/>
        </w:rPr>
        <w:t xml:space="preserve">. </w:t>
      </w:r>
    </w:p>
    <w:p w:rsidR="00D75B53" w:rsidRPr="00D7667C" w:rsidRDefault="00D75B53">
      <w:pPr>
        <w:pBdr>
          <w:top w:val="single" w:sz="4" w:space="1" w:color="auto"/>
          <w:left w:val="single" w:sz="4" w:space="4" w:color="auto"/>
          <w:bottom w:val="single" w:sz="4" w:space="1" w:color="auto"/>
          <w:right w:val="single" w:sz="4" w:space="4" w:color="auto"/>
        </w:pBdr>
        <w:tabs>
          <w:tab w:val="left" w:pos="3048"/>
        </w:tabs>
        <w:rPr>
          <w:rFonts w:cs="Arial"/>
        </w:rPr>
      </w:pPr>
    </w:p>
    <w:p w:rsidR="00F4367A" w:rsidRPr="008F4784" w:rsidRDefault="00E762DE">
      <w:pPr>
        <w:pBdr>
          <w:top w:val="single" w:sz="4" w:space="1" w:color="auto"/>
          <w:left w:val="single" w:sz="4" w:space="4" w:color="auto"/>
          <w:bottom w:val="single" w:sz="4" w:space="1" w:color="auto"/>
          <w:right w:val="single" w:sz="4" w:space="4" w:color="auto"/>
        </w:pBdr>
        <w:tabs>
          <w:tab w:val="left" w:pos="3048"/>
        </w:tabs>
        <w:rPr>
          <w:rFonts w:cs="Arial"/>
        </w:rPr>
      </w:pPr>
      <w:r w:rsidRPr="008F4784">
        <w:rPr>
          <w:rFonts w:cs="Arial"/>
        </w:rPr>
        <w:t xml:space="preserve">2. </w:t>
      </w:r>
      <w:r w:rsidR="008F4784" w:rsidRPr="008F4784">
        <w:rPr>
          <w:rFonts w:cs="Arial"/>
        </w:rPr>
        <w:t xml:space="preserve"> A</w:t>
      </w:r>
      <w:r w:rsidR="005B0835" w:rsidRPr="008F4784">
        <w:rPr>
          <w:rFonts w:cs="Arial"/>
        </w:rPr>
        <w:t>gree that t</w:t>
      </w:r>
      <w:r w:rsidRPr="008F4784">
        <w:rPr>
          <w:rFonts w:cs="Arial"/>
        </w:rPr>
        <w:t xml:space="preserve">he </w:t>
      </w:r>
      <w:r w:rsidR="000E2EC5">
        <w:rPr>
          <w:rFonts w:cs="Arial"/>
        </w:rPr>
        <w:t xml:space="preserve">identification of the </w:t>
      </w:r>
      <w:r w:rsidRPr="008F4784">
        <w:rPr>
          <w:rFonts w:cs="Arial"/>
        </w:rPr>
        <w:t>priority area</w:t>
      </w:r>
      <w:r>
        <w:rPr>
          <w:rFonts w:cs="Arial"/>
        </w:rPr>
        <w:t xml:space="preserve"> to be included in the service specification </w:t>
      </w:r>
      <w:r w:rsidR="005B0835">
        <w:rPr>
          <w:rFonts w:cs="Arial"/>
        </w:rPr>
        <w:t>together with</w:t>
      </w:r>
      <w:r>
        <w:rPr>
          <w:rFonts w:cs="Arial"/>
        </w:rPr>
        <w:t xml:space="preserve"> the associated</w:t>
      </w:r>
      <w:r w:rsidRPr="008F4784">
        <w:rPr>
          <w:rFonts w:cs="Arial"/>
        </w:rPr>
        <w:t xml:space="preserve"> outcomes and measures </w:t>
      </w:r>
      <w:proofErr w:type="gramStart"/>
      <w:r w:rsidRPr="008F4784">
        <w:rPr>
          <w:rFonts w:cs="Arial"/>
        </w:rPr>
        <w:t>are</w:t>
      </w:r>
      <w:proofErr w:type="gramEnd"/>
      <w:r w:rsidRPr="008F4784">
        <w:rPr>
          <w:rFonts w:cs="Arial"/>
        </w:rPr>
        <w:t xml:space="preserve"> delegated to the portfolio holder </w:t>
      </w:r>
      <w:r>
        <w:rPr>
          <w:rFonts w:cs="Arial"/>
        </w:rPr>
        <w:t xml:space="preserve">for Customer Services and Social Inclusion </w:t>
      </w:r>
      <w:r w:rsidRPr="008F4784">
        <w:rPr>
          <w:rFonts w:cs="Arial"/>
        </w:rPr>
        <w:t>and</w:t>
      </w:r>
      <w:r>
        <w:rPr>
          <w:rFonts w:cs="Arial"/>
        </w:rPr>
        <w:t xml:space="preserve"> the</w:t>
      </w:r>
      <w:r w:rsidRPr="008F4784">
        <w:rPr>
          <w:rFonts w:cs="Arial"/>
        </w:rPr>
        <w:t xml:space="preserve"> Head of Customer Services to agree with the com</w:t>
      </w:r>
      <w:r>
        <w:rPr>
          <w:rFonts w:cs="Arial"/>
        </w:rPr>
        <w:t>m</w:t>
      </w:r>
      <w:r w:rsidRPr="008F4784">
        <w:rPr>
          <w:rFonts w:cs="Arial"/>
        </w:rPr>
        <w:t>issioned advice agencies</w:t>
      </w:r>
      <w:r w:rsidR="000E2EC5">
        <w:rPr>
          <w:rFonts w:cs="Arial"/>
        </w:rPr>
        <w:t xml:space="preserve"> prior to 1.</w:t>
      </w:r>
      <w:r w:rsidR="00A22CEA">
        <w:rPr>
          <w:rFonts w:cs="Arial"/>
        </w:rPr>
        <w:t>1</w:t>
      </w:r>
      <w:r w:rsidR="009A0FD7">
        <w:rPr>
          <w:rFonts w:cs="Arial"/>
        </w:rPr>
        <w:t>0</w:t>
      </w:r>
      <w:r w:rsidR="000E2EC5">
        <w:rPr>
          <w:rFonts w:cs="Arial"/>
        </w:rPr>
        <w:t>.201</w:t>
      </w:r>
      <w:r w:rsidR="009A0FD7">
        <w:rPr>
          <w:rFonts w:cs="Arial"/>
        </w:rPr>
        <w:t>4</w:t>
      </w:r>
      <w:r w:rsidRPr="008F4784">
        <w:rPr>
          <w:rFonts w:cs="Arial"/>
        </w:rPr>
        <w:t>.</w:t>
      </w:r>
    </w:p>
    <w:p w:rsidR="00F4367A" w:rsidRDefault="00F4367A">
      <w:pPr>
        <w:rPr>
          <w:rFonts w:cs="Arial"/>
        </w:rPr>
      </w:pPr>
    </w:p>
    <w:p w:rsidR="00A03989" w:rsidRPr="00954F8E" w:rsidRDefault="00D7667C">
      <w:pPr>
        <w:rPr>
          <w:rFonts w:cs="Arial"/>
          <w:b/>
        </w:rPr>
      </w:pPr>
      <w:r>
        <w:rPr>
          <w:rFonts w:cs="Arial"/>
          <w:b/>
        </w:rPr>
        <w:t>Appendices:</w:t>
      </w:r>
    </w:p>
    <w:p w:rsidR="00275FD3" w:rsidRPr="00A03989" w:rsidRDefault="00A03989">
      <w:pPr>
        <w:rPr>
          <w:rFonts w:cs="Arial"/>
        </w:rPr>
      </w:pPr>
      <w:r w:rsidRPr="00A03989">
        <w:rPr>
          <w:rFonts w:cs="Arial"/>
        </w:rPr>
        <w:t xml:space="preserve">Appendix </w:t>
      </w:r>
      <w:r w:rsidR="008834EA">
        <w:rPr>
          <w:rFonts w:cs="Arial"/>
        </w:rPr>
        <w:t>1</w:t>
      </w:r>
      <w:r w:rsidR="008834EA" w:rsidRPr="00A03989">
        <w:rPr>
          <w:rFonts w:cs="Arial"/>
        </w:rPr>
        <w:t xml:space="preserve"> </w:t>
      </w:r>
      <w:r w:rsidRPr="00A03989">
        <w:rPr>
          <w:rFonts w:cs="Arial"/>
        </w:rPr>
        <w:t xml:space="preserve">- </w:t>
      </w:r>
      <w:r w:rsidR="00275FD3" w:rsidRPr="00A03989">
        <w:rPr>
          <w:rFonts w:cs="Arial"/>
        </w:rPr>
        <w:t>Service Specification</w:t>
      </w:r>
      <w:r w:rsidRPr="00A03989">
        <w:rPr>
          <w:rFonts w:cs="Arial"/>
        </w:rPr>
        <w:t xml:space="preserve"> (Schedule 1 of Standard Funding Agreement)</w:t>
      </w:r>
    </w:p>
    <w:p w:rsidR="00275FD3" w:rsidRPr="00A03989" w:rsidRDefault="00A03989">
      <w:pPr>
        <w:rPr>
          <w:rFonts w:cs="Arial"/>
        </w:rPr>
      </w:pPr>
      <w:r w:rsidRPr="00A03989">
        <w:rPr>
          <w:rFonts w:cs="Arial"/>
        </w:rPr>
        <w:t xml:space="preserve">Appendix </w:t>
      </w:r>
      <w:r w:rsidR="008834EA">
        <w:rPr>
          <w:rFonts w:cs="Arial"/>
        </w:rPr>
        <w:t>2</w:t>
      </w:r>
      <w:r w:rsidR="008834EA" w:rsidRPr="00A03989">
        <w:rPr>
          <w:rFonts w:cs="Arial"/>
        </w:rPr>
        <w:t xml:space="preserve"> </w:t>
      </w:r>
      <w:r w:rsidRPr="00A03989">
        <w:rPr>
          <w:rFonts w:cs="Arial"/>
        </w:rPr>
        <w:t xml:space="preserve">- </w:t>
      </w:r>
      <w:r w:rsidR="00275FD3" w:rsidRPr="00A03989">
        <w:rPr>
          <w:rFonts w:cs="Arial"/>
        </w:rPr>
        <w:t>Monitoring Form</w:t>
      </w:r>
    </w:p>
    <w:p w:rsidR="00275FD3" w:rsidRPr="00A03989" w:rsidRDefault="00A03989">
      <w:pPr>
        <w:rPr>
          <w:rFonts w:cs="Arial"/>
        </w:rPr>
      </w:pPr>
      <w:r w:rsidRPr="00A03989">
        <w:rPr>
          <w:rFonts w:cs="Arial"/>
        </w:rPr>
        <w:t xml:space="preserve">Appendix </w:t>
      </w:r>
      <w:r w:rsidR="008834EA">
        <w:rPr>
          <w:rFonts w:cs="Arial"/>
        </w:rPr>
        <w:t>3</w:t>
      </w:r>
      <w:r w:rsidR="008834EA" w:rsidRPr="00A03989">
        <w:rPr>
          <w:rFonts w:cs="Arial"/>
        </w:rPr>
        <w:t xml:space="preserve"> </w:t>
      </w:r>
      <w:r w:rsidRPr="00A03989">
        <w:rPr>
          <w:rFonts w:cs="Arial"/>
        </w:rPr>
        <w:t xml:space="preserve">- </w:t>
      </w:r>
      <w:r w:rsidR="00275FD3" w:rsidRPr="00A03989">
        <w:rPr>
          <w:rFonts w:cs="Arial"/>
        </w:rPr>
        <w:t>Payment Schedule</w:t>
      </w:r>
      <w:r w:rsidRPr="00A03989">
        <w:rPr>
          <w:rFonts w:cs="Arial"/>
        </w:rPr>
        <w:t xml:space="preserve"> Template</w:t>
      </w:r>
      <w:r w:rsidR="009100A5">
        <w:rPr>
          <w:rFonts w:cs="Arial"/>
        </w:rPr>
        <w:t xml:space="preserve"> </w:t>
      </w:r>
      <w:r w:rsidRPr="00A03989">
        <w:rPr>
          <w:rFonts w:cs="Arial"/>
        </w:rPr>
        <w:t>(Schedule 2 of Standard Funding Agreement)</w:t>
      </w:r>
    </w:p>
    <w:p w:rsidR="008815EF" w:rsidRPr="00A03989" w:rsidRDefault="00A03989">
      <w:pPr>
        <w:rPr>
          <w:rFonts w:cs="Arial"/>
        </w:rPr>
      </w:pPr>
      <w:r w:rsidRPr="00A03989">
        <w:rPr>
          <w:rFonts w:cs="Arial"/>
        </w:rPr>
        <w:t xml:space="preserve">Appendix </w:t>
      </w:r>
      <w:r w:rsidR="008834EA">
        <w:rPr>
          <w:rFonts w:cs="Arial"/>
        </w:rPr>
        <w:t>4</w:t>
      </w:r>
      <w:r w:rsidR="008834EA" w:rsidRPr="00A03989">
        <w:rPr>
          <w:rFonts w:cs="Arial"/>
        </w:rPr>
        <w:t xml:space="preserve"> </w:t>
      </w:r>
      <w:r w:rsidRPr="00A03989">
        <w:rPr>
          <w:rFonts w:cs="Arial"/>
        </w:rPr>
        <w:t xml:space="preserve">- </w:t>
      </w:r>
      <w:r w:rsidR="008815EF" w:rsidRPr="00A03989">
        <w:rPr>
          <w:rFonts w:cs="Arial"/>
        </w:rPr>
        <w:t>Risk Register</w:t>
      </w:r>
    </w:p>
    <w:p w:rsidR="00A03989" w:rsidRPr="00A03989" w:rsidRDefault="00A03989">
      <w:pPr>
        <w:rPr>
          <w:rFonts w:cs="Arial"/>
        </w:rPr>
      </w:pPr>
    </w:p>
    <w:p w:rsidR="00713675" w:rsidRPr="00A03989" w:rsidRDefault="00713675">
      <w:pPr>
        <w:rPr>
          <w:rFonts w:cs="Arial"/>
          <w:sz w:val="22"/>
          <w:szCs w:val="22"/>
        </w:rPr>
      </w:pPr>
    </w:p>
    <w:p w:rsidR="00275FD3" w:rsidRPr="00C05265" w:rsidRDefault="00D7667C" w:rsidP="00275FD3">
      <w:pPr>
        <w:rPr>
          <w:rFonts w:eastAsia="Calibri" w:cs="Arial"/>
          <w:b/>
        </w:rPr>
      </w:pPr>
      <w:r>
        <w:rPr>
          <w:rFonts w:eastAsia="Calibri" w:cs="Arial"/>
          <w:b/>
        </w:rPr>
        <w:t>Background</w:t>
      </w:r>
    </w:p>
    <w:p w:rsidR="00275FD3" w:rsidRPr="00C05265" w:rsidRDefault="00275FD3" w:rsidP="005536B2">
      <w:pPr>
        <w:numPr>
          <w:ilvl w:val="0"/>
          <w:numId w:val="6"/>
        </w:numPr>
        <w:ind w:left="426"/>
        <w:rPr>
          <w:rFonts w:eastAsia="Calibri" w:cs="Arial"/>
        </w:rPr>
      </w:pPr>
      <w:r w:rsidRPr="00C05265">
        <w:rPr>
          <w:rFonts w:eastAsia="Calibri" w:cs="Arial"/>
        </w:rPr>
        <w:t xml:space="preserve">The Council provides funding </w:t>
      </w:r>
      <w:r w:rsidR="000A2992">
        <w:rPr>
          <w:rFonts w:eastAsia="Calibri" w:cs="Arial"/>
        </w:rPr>
        <w:t>and commissions organisations to provide</w:t>
      </w:r>
      <w:r w:rsidRPr="00C05265">
        <w:rPr>
          <w:rFonts w:eastAsia="Calibri" w:cs="Arial"/>
        </w:rPr>
        <w:t xml:space="preserve"> independent </w:t>
      </w:r>
      <w:r w:rsidR="00BC2E3B" w:rsidRPr="00C05265">
        <w:rPr>
          <w:rFonts w:eastAsia="Calibri" w:cs="Arial"/>
        </w:rPr>
        <w:t>advice to</w:t>
      </w:r>
      <w:r w:rsidRPr="00C05265">
        <w:rPr>
          <w:rFonts w:eastAsia="Calibri" w:cs="Arial"/>
        </w:rPr>
        <w:t xml:space="preserve"> support residents facing</w:t>
      </w:r>
      <w:r w:rsidR="000A2992">
        <w:rPr>
          <w:rFonts w:eastAsia="Calibri" w:cs="Arial"/>
        </w:rPr>
        <w:t xml:space="preserve"> social and financial</w:t>
      </w:r>
      <w:r w:rsidR="00BC2E3B">
        <w:rPr>
          <w:rFonts w:eastAsia="Calibri" w:cs="Arial"/>
        </w:rPr>
        <w:t xml:space="preserve"> problems</w:t>
      </w:r>
      <w:r w:rsidR="00BC0D74" w:rsidRPr="00C05265">
        <w:rPr>
          <w:rFonts w:eastAsia="Calibri" w:cs="Arial"/>
        </w:rPr>
        <w:t xml:space="preserve">. </w:t>
      </w:r>
    </w:p>
    <w:p w:rsidR="00275FD3" w:rsidRPr="00C05265" w:rsidRDefault="00275FD3" w:rsidP="00275FD3">
      <w:pPr>
        <w:rPr>
          <w:rFonts w:eastAsia="Calibri" w:cs="Arial"/>
          <w:b/>
        </w:rPr>
      </w:pPr>
    </w:p>
    <w:p w:rsidR="00232231" w:rsidRDefault="000A2992" w:rsidP="005536B2">
      <w:pPr>
        <w:numPr>
          <w:ilvl w:val="0"/>
          <w:numId w:val="6"/>
        </w:numPr>
        <w:ind w:left="426"/>
        <w:rPr>
          <w:rFonts w:eastAsia="Calibri" w:cs="Arial"/>
        </w:rPr>
      </w:pPr>
      <w:r>
        <w:rPr>
          <w:rFonts w:eastAsia="Calibri" w:cs="Arial"/>
        </w:rPr>
        <w:t>O</w:t>
      </w:r>
      <w:r w:rsidR="00275FD3" w:rsidRPr="00C05265">
        <w:rPr>
          <w:rFonts w:eastAsia="Calibri" w:cs="Arial"/>
        </w:rPr>
        <w:t xml:space="preserve">ne year funding was agreed for 2014/15 so the Council could work with the advice sector to agree </w:t>
      </w:r>
      <w:r>
        <w:rPr>
          <w:rFonts w:eastAsia="Calibri" w:cs="Arial"/>
        </w:rPr>
        <w:t>a new service specification for</w:t>
      </w:r>
      <w:r w:rsidR="00BC2E3B">
        <w:rPr>
          <w:rFonts w:eastAsia="Calibri" w:cs="Arial"/>
        </w:rPr>
        <w:t xml:space="preserve"> </w:t>
      </w:r>
      <w:r w:rsidR="00275FD3" w:rsidRPr="00C05265">
        <w:rPr>
          <w:rFonts w:eastAsia="Calibri" w:cs="Arial"/>
        </w:rPr>
        <w:t>a n</w:t>
      </w:r>
      <w:r w:rsidR="00BC0D74" w:rsidRPr="00C05265">
        <w:rPr>
          <w:rFonts w:eastAsia="Calibri" w:cs="Arial"/>
        </w:rPr>
        <w:t>ew three year funding program</w:t>
      </w:r>
      <w:r w:rsidR="00D7667C">
        <w:rPr>
          <w:rFonts w:eastAsia="Calibri" w:cs="Arial"/>
        </w:rPr>
        <w:t>me</w:t>
      </w:r>
      <w:r w:rsidR="00BC0D74" w:rsidRPr="00C05265">
        <w:rPr>
          <w:rFonts w:eastAsia="Calibri" w:cs="Arial"/>
        </w:rPr>
        <w:t xml:space="preserve"> f</w:t>
      </w:r>
      <w:r w:rsidR="00275FD3" w:rsidRPr="00C05265">
        <w:rPr>
          <w:rFonts w:eastAsia="Calibri" w:cs="Arial"/>
        </w:rPr>
        <w:t>r</w:t>
      </w:r>
      <w:r w:rsidR="00BC0D74" w:rsidRPr="00C05265">
        <w:rPr>
          <w:rFonts w:eastAsia="Calibri" w:cs="Arial"/>
        </w:rPr>
        <w:t>o</w:t>
      </w:r>
      <w:r w:rsidR="00275FD3" w:rsidRPr="00C05265">
        <w:rPr>
          <w:rFonts w:eastAsia="Calibri" w:cs="Arial"/>
        </w:rPr>
        <w:t xml:space="preserve">m </w:t>
      </w:r>
      <w:r w:rsidR="00954F8E">
        <w:rPr>
          <w:rFonts w:eastAsia="Calibri" w:cs="Arial"/>
        </w:rPr>
        <w:t xml:space="preserve">April </w:t>
      </w:r>
      <w:r w:rsidR="00275FD3" w:rsidRPr="00C05265">
        <w:rPr>
          <w:rFonts w:eastAsia="Calibri" w:cs="Arial"/>
        </w:rPr>
        <w:t xml:space="preserve">2015. </w:t>
      </w:r>
    </w:p>
    <w:p w:rsidR="00232231" w:rsidRDefault="00232231" w:rsidP="00275FD3">
      <w:pPr>
        <w:rPr>
          <w:rFonts w:eastAsia="Calibri" w:cs="Arial"/>
        </w:rPr>
      </w:pPr>
    </w:p>
    <w:p w:rsidR="00275FD3" w:rsidRDefault="00275FD3" w:rsidP="00866E0D">
      <w:pPr>
        <w:numPr>
          <w:ilvl w:val="0"/>
          <w:numId w:val="6"/>
        </w:numPr>
        <w:ind w:left="426"/>
        <w:rPr>
          <w:rFonts w:eastAsia="Calibri" w:cs="Arial"/>
        </w:rPr>
      </w:pPr>
      <w:r w:rsidRPr="00866E0D">
        <w:rPr>
          <w:rFonts w:eastAsia="Calibri" w:cs="Arial"/>
        </w:rPr>
        <w:t>Th</w:t>
      </w:r>
      <w:r w:rsidR="00232231" w:rsidRPr="00866E0D">
        <w:rPr>
          <w:rFonts w:eastAsia="Calibri" w:cs="Arial"/>
        </w:rPr>
        <w:t xml:space="preserve">e draft service specification </w:t>
      </w:r>
      <w:r w:rsidR="00496FB3" w:rsidRPr="00866E0D">
        <w:rPr>
          <w:rFonts w:eastAsia="Calibri" w:cs="Arial"/>
        </w:rPr>
        <w:t xml:space="preserve">attached at </w:t>
      </w:r>
      <w:r w:rsidR="008834EA" w:rsidRPr="00866E0D">
        <w:rPr>
          <w:rFonts w:eastAsia="Calibri" w:cs="Arial"/>
        </w:rPr>
        <w:t xml:space="preserve">Appendix 1 </w:t>
      </w:r>
      <w:r w:rsidRPr="00866E0D">
        <w:rPr>
          <w:rFonts w:eastAsia="Calibri" w:cs="Arial"/>
        </w:rPr>
        <w:t>has been</w:t>
      </w:r>
      <w:r w:rsidR="00496FB3" w:rsidRPr="00866E0D">
        <w:rPr>
          <w:rFonts w:eastAsia="Calibri" w:cs="Arial"/>
        </w:rPr>
        <w:t xml:space="preserve"> updated </w:t>
      </w:r>
      <w:r w:rsidRPr="00866E0D">
        <w:rPr>
          <w:rFonts w:eastAsia="Calibri" w:cs="Arial"/>
        </w:rPr>
        <w:t xml:space="preserve">in light of </w:t>
      </w:r>
      <w:r w:rsidR="005D3CC6" w:rsidRPr="00866E0D">
        <w:rPr>
          <w:rFonts w:eastAsia="Calibri" w:cs="Arial"/>
        </w:rPr>
        <w:t xml:space="preserve">detailed discussions with the advice sector, </w:t>
      </w:r>
      <w:r w:rsidRPr="00866E0D">
        <w:rPr>
          <w:rFonts w:eastAsia="Calibri" w:cs="Arial"/>
        </w:rPr>
        <w:t>the current economic climate</w:t>
      </w:r>
      <w:r w:rsidR="00496FB3" w:rsidRPr="00866E0D">
        <w:rPr>
          <w:rFonts w:eastAsia="Calibri" w:cs="Arial"/>
        </w:rPr>
        <w:t>,</w:t>
      </w:r>
      <w:r w:rsidRPr="00866E0D">
        <w:rPr>
          <w:rFonts w:eastAsia="Calibri" w:cs="Arial"/>
        </w:rPr>
        <w:t xml:space="preserve"> learning from the Council’s welfare reform pilots </w:t>
      </w:r>
      <w:r w:rsidR="00496FB3" w:rsidRPr="00866E0D">
        <w:rPr>
          <w:rFonts w:eastAsia="Calibri" w:cs="Arial"/>
        </w:rPr>
        <w:t>in terms of</w:t>
      </w:r>
      <w:r w:rsidRPr="00866E0D">
        <w:rPr>
          <w:rFonts w:eastAsia="Calibri" w:cs="Arial"/>
        </w:rPr>
        <w:t xml:space="preserve"> the scope and nature of customer</w:t>
      </w:r>
      <w:r w:rsidR="00BC0D74" w:rsidRPr="00866E0D">
        <w:rPr>
          <w:rFonts w:eastAsia="Calibri" w:cs="Arial"/>
        </w:rPr>
        <w:t>’s needs in the future</w:t>
      </w:r>
      <w:r w:rsidR="005D3CC6" w:rsidRPr="00866E0D">
        <w:rPr>
          <w:rFonts w:eastAsia="Calibri" w:cs="Arial"/>
        </w:rPr>
        <w:t xml:space="preserve"> and the f</w:t>
      </w:r>
      <w:r w:rsidR="00BC0D74" w:rsidRPr="00866E0D">
        <w:rPr>
          <w:rFonts w:eastAsia="Calibri" w:cs="Arial"/>
        </w:rPr>
        <w:t>inding</w:t>
      </w:r>
      <w:r w:rsidRPr="00866E0D">
        <w:rPr>
          <w:rFonts w:eastAsia="Calibri" w:cs="Arial"/>
        </w:rPr>
        <w:t xml:space="preserve">s from independent research commissioned by the Council </w:t>
      </w:r>
      <w:r w:rsidR="005D3CC6" w:rsidRPr="00866E0D">
        <w:rPr>
          <w:rFonts w:eastAsia="Calibri" w:cs="Arial"/>
        </w:rPr>
        <w:t>into the impact of welfare reform changes on residents.</w:t>
      </w:r>
      <w:r w:rsidRPr="00866E0D">
        <w:rPr>
          <w:rFonts w:eastAsia="Calibri" w:cs="Arial"/>
        </w:rPr>
        <w:t xml:space="preserve"> </w:t>
      </w:r>
    </w:p>
    <w:p w:rsidR="00866E0D" w:rsidRDefault="00866E0D" w:rsidP="00866E0D">
      <w:pPr>
        <w:pStyle w:val="ListParagraph"/>
        <w:rPr>
          <w:rFonts w:eastAsia="Calibri" w:cs="Arial"/>
        </w:rPr>
      </w:pPr>
    </w:p>
    <w:p w:rsidR="00275FD3" w:rsidRPr="00C05265" w:rsidRDefault="008E2784" w:rsidP="005536B2">
      <w:pPr>
        <w:numPr>
          <w:ilvl w:val="0"/>
          <w:numId w:val="6"/>
        </w:numPr>
        <w:ind w:left="426"/>
        <w:rPr>
          <w:rFonts w:eastAsia="Calibri" w:cs="Arial"/>
        </w:rPr>
      </w:pPr>
      <w:r>
        <w:rPr>
          <w:rFonts w:eastAsia="Calibri" w:cs="Arial"/>
        </w:rPr>
        <w:t xml:space="preserve">The </w:t>
      </w:r>
      <w:r w:rsidR="00275FD3" w:rsidRPr="00C05265">
        <w:rPr>
          <w:rFonts w:eastAsia="Calibri" w:cs="Arial"/>
        </w:rPr>
        <w:t xml:space="preserve">return to a three year </w:t>
      </w:r>
      <w:r>
        <w:rPr>
          <w:rFonts w:eastAsia="Calibri" w:cs="Arial"/>
        </w:rPr>
        <w:t>commissioning cycle</w:t>
      </w:r>
      <w:r w:rsidR="00275FD3" w:rsidRPr="00C05265">
        <w:rPr>
          <w:rFonts w:eastAsia="Calibri" w:cs="Arial"/>
        </w:rPr>
        <w:t xml:space="preserve"> is desirable in order to provide security and stability for </w:t>
      </w:r>
      <w:r w:rsidR="000B2998">
        <w:rPr>
          <w:rFonts w:eastAsia="Calibri" w:cs="Arial"/>
        </w:rPr>
        <w:t xml:space="preserve">partner </w:t>
      </w:r>
      <w:r w:rsidR="00275FD3" w:rsidRPr="00C05265">
        <w:rPr>
          <w:rFonts w:eastAsia="Calibri" w:cs="Arial"/>
        </w:rPr>
        <w:t xml:space="preserve">organisations, </w:t>
      </w:r>
      <w:r w:rsidR="000B2998">
        <w:rPr>
          <w:rFonts w:eastAsia="Calibri" w:cs="Arial"/>
        </w:rPr>
        <w:t xml:space="preserve">enabling </w:t>
      </w:r>
      <w:r w:rsidR="00275FD3" w:rsidRPr="00C05265">
        <w:rPr>
          <w:rFonts w:eastAsia="Calibri" w:cs="Arial"/>
        </w:rPr>
        <w:t xml:space="preserve">them to </w:t>
      </w:r>
      <w:r w:rsidR="000B2998">
        <w:rPr>
          <w:rFonts w:eastAsia="Calibri" w:cs="Arial"/>
        </w:rPr>
        <w:t xml:space="preserve">potentially </w:t>
      </w:r>
      <w:r w:rsidR="000A2992">
        <w:rPr>
          <w:rFonts w:eastAsia="Calibri" w:cs="Arial"/>
        </w:rPr>
        <w:t>attract</w:t>
      </w:r>
      <w:r w:rsidR="000A2992" w:rsidRPr="00C05265">
        <w:rPr>
          <w:rFonts w:eastAsia="Calibri" w:cs="Arial"/>
        </w:rPr>
        <w:t xml:space="preserve"> </w:t>
      </w:r>
      <w:r w:rsidR="00275FD3" w:rsidRPr="00C05265">
        <w:rPr>
          <w:rFonts w:eastAsia="Calibri" w:cs="Arial"/>
        </w:rPr>
        <w:t>more resources a</w:t>
      </w:r>
      <w:r w:rsidR="000B2998">
        <w:rPr>
          <w:rFonts w:eastAsia="Calibri" w:cs="Arial"/>
        </w:rPr>
        <w:t xml:space="preserve">t a time when they are experiencing cuts in funding from other </w:t>
      </w:r>
      <w:r w:rsidR="00EE511B">
        <w:rPr>
          <w:rFonts w:eastAsia="Calibri" w:cs="Arial"/>
        </w:rPr>
        <w:t>bodies</w:t>
      </w:r>
      <w:r w:rsidR="00275FD3" w:rsidRPr="00C05265">
        <w:rPr>
          <w:rFonts w:eastAsia="Calibri" w:cs="Arial"/>
        </w:rPr>
        <w:t>.</w:t>
      </w:r>
    </w:p>
    <w:p w:rsidR="00275FD3" w:rsidRPr="00C05265" w:rsidRDefault="00275FD3" w:rsidP="005536B2">
      <w:pPr>
        <w:ind w:left="426"/>
        <w:rPr>
          <w:rFonts w:eastAsia="Calibri" w:cs="Arial"/>
        </w:rPr>
      </w:pPr>
    </w:p>
    <w:p w:rsidR="00275FD3" w:rsidRDefault="00275FD3" w:rsidP="005536B2">
      <w:pPr>
        <w:numPr>
          <w:ilvl w:val="0"/>
          <w:numId w:val="6"/>
        </w:numPr>
        <w:ind w:left="426"/>
        <w:rPr>
          <w:rFonts w:eastAsia="Calibri" w:cs="Arial"/>
        </w:rPr>
      </w:pPr>
      <w:r w:rsidRPr="00C05265">
        <w:rPr>
          <w:rFonts w:eastAsia="Calibri" w:cs="Arial"/>
        </w:rPr>
        <w:t>Oxford City Council is a signatory to the Local Compact for Oxfordshire which sets out commitments by the voluntary and statutory sector to improve the way in which we work together for the benefit of local communities. The City Council is committed to working in partnership with the advice sector to meet our shared objectives. This report sets out the rationale for our support in the future.</w:t>
      </w:r>
    </w:p>
    <w:p w:rsidR="008815EF" w:rsidRDefault="008815EF" w:rsidP="005536B2">
      <w:pPr>
        <w:ind w:left="426"/>
        <w:rPr>
          <w:rFonts w:eastAsia="Calibri" w:cs="Arial"/>
        </w:rPr>
      </w:pPr>
    </w:p>
    <w:p w:rsidR="008815EF" w:rsidRPr="00C05265" w:rsidRDefault="008815EF" w:rsidP="005536B2">
      <w:pPr>
        <w:numPr>
          <w:ilvl w:val="0"/>
          <w:numId w:val="6"/>
        </w:numPr>
        <w:ind w:left="426"/>
        <w:rPr>
          <w:rFonts w:eastAsia="Calibri" w:cs="Arial"/>
        </w:rPr>
      </w:pPr>
      <w:r w:rsidRPr="008815EF">
        <w:rPr>
          <w:rFonts w:eastAsia="Calibri" w:cs="Arial"/>
        </w:rPr>
        <w:t xml:space="preserve">The </w:t>
      </w:r>
      <w:r w:rsidR="005536B2">
        <w:rPr>
          <w:rFonts w:eastAsia="Calibri" w:cs="Arial"/>
        </w:rPr>
        <w:t xml:space="preserve">proposed </w:t>
      </w:r>
      <w:r w:rsidR="005536B2" w:rsidRPr="008815EF">
        <w:rPr>
          <w:rFonts w:eastAsia="Calibri" w:cs="Arial"/>
        </w:rPr>
        <w:t xml:space="preserve">service </w:t>
      </w:r>
      <w:r w:rsidR="005536B2">
        <w:rPr>
          <w:rFonts w:eastAsia="Calibri" w:cs="Arial"/>
        </w:rPr>
        <w:t>specification</w:t>
      </w:r>
      <w:r w:rsidR="008834EA">
        <w:rPr>
          <w:rFonts w:eastAsia="Calibri" w:cs="Arial"/>
        </w:rPr>
        <w:t xml:space="preserve"> for delivery of commissioned advice</w:t>
      </w:r>
      <w:r w:rsidR="005536B2">
        <w:rPr>
          <w:rFonts w:eastAsia="Calibri" w:cs="Arial"/>
        </w:rPr>
        <w:t xml:space="preserve">, </w:t>
      </w:r>
      <w:r w:rsidR="005536B2" w:rsidRPr="008815EF">
        <w:rPr>
          <w:rFonts w:eastAsia="Calibri" w:cs="Arial"/>
        </w:rPr>
        <w:t>payment</w:t>
      </w:r>
      <w:r w:rsidR="008834EA" w:rsidRPr="008815EF">
        <w:rPr>
          <w:rFonts w:eastAsia="Calibri" w:cs="Arial"/>
        </w:rPr>
        <w:t xml:space="preserve"> </w:t>
      </w:r>
      <w:r w:rsidR="008834EA">
        <w:rPr>
          <w:rFonts w:eastAsia="Calibri" w:cs="Arial"/>
        </w:rPr>
        <w:t>s</w:t>
      </w:r>
      <w:r w:rsidR="008834EA" w:rsidRPr="008815EF">
        <w:rPr>
          <w:rFonts w:eastAsia="Calibri" w:cs="Arial"/>
        </w:rPr>
        <w:t xml:space="preserve">chedule </w:t>
      </w:r>
      <w:r w:rsidRPr="008815EF">
        <w:rPr>
          <w:rFonts w:eastAsia="Calibri" w:cs="Arial"/>
        </w:rPr>
        <w:t xml:space="preserve">and </w:t>
      </w:r>
      <w:r w:rsidR="008834EA">
        <w:rPr>
          <w:rFonts w:eastAsia="Calibri" w:cs="Arial"/>
        </w:rPr>
        <w:t>m</w:t>
      </w:r>
      <w:r w:rsidRPr="008815EF">
        <w:rPr>
          <w:rFonts w:eastAsia="Calibri" w:cs="Arial"/>
        </w:rPr>
        <w:t xml:space="preserve">onitoring </w:t>
      </w:r>
      <w:r w:rsidR="008834EA">
        <w:rPr>
          <w:rFonts w:eastAsia="Calibri" w:cs="Arial"/>
        </w:rPr>
        <w:t>f</w:t>
      </w:r>
      <w:r w:rsidR="008834EA" w:rsidRPr="008815EF">
        <w:rPr>
          <w:rFonts w:eastAsia="Calibri" w:cs="Arial"/>
        </w:rPr>
        <w:t>orm</w:t>
      </w:r>
      <w:r w:rsidR="008834EA">
        <w:rPr>
          <w:rFonts w:eastAsia="Calibri" w:cs="Arial"/>
        </w:rPr>
        <w:t xml:space="preserve"> are all attached as appendices </w:t>
      </w:r>
      <w:r w:rsidR="00EE511B">
        <w:rPr>
          <w:rFonts w:eastAsia="Calibri" w:cs="Arial"/>
        </w:rPr>
        <w:t>to this report</w:t>
      </w:r>
      <w:r w:rsidRPr="008815EF">
        <w:rPr>
          <w:rFonts w:eastAsia="Calibri" w:cs="Arial"/>
        </w:rPr>
        <w:t>.</w:t>
      </w:r>
    </w:p>
    <w:p w:rsidR="00275FD3" w:rsidRPr="00C05265" w:rsidRDefault="00275FD3" w:rsidP="00275FD3">
      <w:pPr>
        <w:rPr>
          <w:rFonts w:eastAsia="Calibri" w:cs="Arial"/>
        </w:rPr>
      </w:pPr>
    </w:p>
    <w:p w:rsidR="00BC0D74" w:rsidRPr="00C05265" w:rsidRDefault="00D7667C" w:rsidP="00275FD3">
      <w:pPr>
        <w:rPr>
          <w:rFonts w:eastAsia="Calibri" w:cs="Arial"/>
        </w:rPr>
      </w:pPr>
      <w:r>
        <w:rPr>
          <w:rFonts w:eastAsia="Calibri" w:cs="Arial"/>
          <w:b/>
        </w:rPr>
        <w:t>A Three Year Commissioned Programme</w:t>
      </w:r>
    </w:p>
    <w:p w:rsidR="00275FD3" w:rsidRDefault="00275FD3" w:rsidP="005536B2">
      <w:pPr>
        <w:numPr>
          <w:ilvl w:val="0"/>
          <w:numId w:val="6"/>
        </w:numPr>
        <w:ind w:left="426"/>
        <w:rPr>
          <w:rFonts w:eastAsia="Calibri" w:cs="Arial"/>
        </w:rPr>
      </w:pPr>
      <w:r w:rsidRPr="00F3028B">
        <w:rPr>
          <w:rFonts w:eastAsia="Calibri" w:cs="Arial"/>
        </w:rPr>
        <w:t>With ever decreasing resources available to Local Authorities,</w:t>
      </w:r>
      <w:r w:rsidR="00F860C7" w:rsidRPr="00F3028B">
        <w:rPr>
          <w:rFonts w:eastAsia="Calibri" w:cs="Arial"/>
        </w:rPr>
        <w:t xml:space="preserve"> the City Council has chosen to invest more of its limited resources in tackling financial exclusion</w:t>
      </w:r>
      <w:r w:rsidR="00AA2F6F" w:rsidRPr="00F3028B">
        <w:rPr>
          <w:rFonts w:eastAsia="Calibri" w:cs="Arial"/>
        </w:rPr>
        <w:t xml:space="preserve"> in line with its Financial Inclusion Strategy</w:t>
      </w:r>
      <w:r w:rsidR="002340F7" w:rsidRPr="00F3028B">
        <w:rPr>
          <w:rFonts w:eastAsia="Calibri" w:cs="Arial"/>
        </w:rPr>
        <w:t xml:space="preserve">.  </w:t>
      </w:r>
      <w:r w:rsidR="00F860C7" w:rsidRPr="00F3028B">
        <w:rPr>
          <w:rFonts w:eastAsia="Calibri" w:cs="Arial"/>
        </w:rPr>
        <w:t xml:space="preserve">However, </w:t>
      </w:r>
      <w:r w:rsidRPr="00F3028B">
        <w:rPr>
          <w:rFonts w:eastAsia="Calibri" w:cs="Arial"/>
        </w:rPr>
        <w:t>it is increasingly important that the Council deliver</w:t>
      </w:r>
      <w:r w:rsidR="008815EF" w:rsidRPr="00F3028B">
        <w:rPr>
          <w:rFonts w:eastAsia="Calibri" w:cs="Arial"/>
        </w:rPr>
        <w:t>s</w:t>
      </w:r>
      <w:r w:rsidRPr="00F3028B">
        <w:rPr>
          <w:rFonts w:eastAsia="Calibri" w:cs="Arial"/>
        </w:rPr>
        <w:t xml:space="preserve"> </w:t>
      </w:r>
      <w:r w:rsidR="002B676F" w:rsidRPr="00F3028B">
        <w:rPr>
          <w:rFonts w:eastAsia="Calibri" w:cs="Arial"/>
        </w:rPr>
        <w:t xml:space="preserve">value for money </w:t>
      </w:r>
      <w:r w:rsidRPr="00F3028B">
        <w:rPr>
          <w:rFonts w:eastAsia="Calibri" w:cs="Arial"/>
        </w:rPr>
        <w:t>for residents</w:t>
      </w:r>
      <w:r w:rsidR="002340F7" w:rsidRPr="00F3028B">
        <w:rPr>
          <w:rFonts w:eastAsia="Calibri" w:cs="Arial"/>
        </w:rPr>
        <w:t>, and this includes the provision of commissioned advice</w:t>
      </w:r>
      <w:r w:rsidRPr="00F3028B">
        <w:rPr>
          <w:rFonts w:eastAsia="Calibri" w:cs="Arial"/>
        </w:rPr>
        <w:t>.</w:t>
      </w:r>
      <w:r w:rsidRPr="00C05265">
        <w:rPr>
          <w:rFonts w:eastAsia="Calibri" w:cs="Arial"/>
        </w:rPr>
        <w:t xml:space="preserve">  In developing a new service specification for commissioned advice, the aim has been to ensure that the outcomes delivered support the aims of the Council’</w:t>
      </w:r>
      <w:r w:rsidR="008815EF">
        <w:rPr>
          <w:rFonts w:eastAsia="Calibri" w:cs="Arial"/>
        </w:rPr>
        <w:t xml:space="preserve">s Financial Inclusion Strategy, and help deliver the Action Plan. </w:t>
      </w:r>
    </w:p>
    <w:p w:rsidR="002E2ACD" w:rsidRDefault="002E2ACD" w:rsidP="005536B2">
      <w:pPr>
        <w:ind w:left="426"/>
        <w:rPr>
          <w:rFonts w:eastAsia="Calibri" w:cs="Arial"/>
        </w:rPr>
      </w:pPr>
    </w:p>
    <w:p w:rsidR="002E2ACD" w:rsidRPr="00C05265" w:rsidRDefault="002E2ACD" w:rsidP="005536B2">
      <w:pPr>
        <w:numPr>
          <w:ilvl w:val="0"/>
          <w:numId w:val="6"/>
        </w:numPr>
        <w:ind w:left="426"/>
        <w:rPr>
          <w:rFonts w:eastAsia="Calibri" w:cs="Arial"/>
        </w:rPr>
      </w:pPr>
      <w:r>
        <w:rPr>
          <w:rFonts w:eastAsia="Calibri" w:cs="Arial"/>
        </w:rPr>
        <w:t>A three year program</w:t>
      </w:r>
      <w:r w:rsidR="00D7667C">
        <w:rPr>
          <w:rFonts w:eastAsia="Calibri" w:cs="Arial"/>
        </w:rPr>
        <w:t>me</w:t>
      </w:r>
      <w:r>
        <w:rPr>
          <w:rFonts w:eastAsia="Calibri" w:cs="Arial"/>
        </w:rPr>
        <w:t xml:space="preserve"> brings security for funded organisations. However</w:t>
      </w:r>
      <w:r w:rsidR="00DF20A8">
        <w:rPr>
          <w:rFonts w:eastAsia="Calibri" w:cs="Arial"/>
        </w:rPr>
        <w:t>,</w:t>
      </w:r>
      <w:r>
        <w:rPr>
          <w:rFonts w:eastAsia="Calibri" w:cs="Arial"/>
        </w:rPr>
        <w:t xml:space="preserve"> it</w:t>
      </w:r>
      <w:r w:rsidR="00DF20A8">
        <w:rPr>
          <w:rFonts w:eastAsia="Calibri" w:cs="Arial"/>
        </w:rPr>
        <w:t xml:space="preserve"> i</w:t>
      </w:r>
      <w:r>
        <w:rPr>
          <w:rFonts w:eastAsia="Calibri" w:cs="Arial"/>
        </w:rPr>
        <w:t>s important that there is flexibility within the program</w:t>
      </w:r>
      <w:r w:rsidR="00D7667C">
        <w:rPr>
          <w:rFonts w:eastAsia="Calibri" w:cs="Arial"/>
        </w:rPr>
        <w:t>me</w:t>
      </w:r>
      <w:r>
        <w:rPr>
          <w:rFonts w:eastAsia="Calibri" w:cs="Arial"/>
        </w:rPr>
        <w:t xml:space="preserve"> so resources can be directed to new and emerging priorities. To </w:t>
      </w:r>
      <w:r w:rsidR="002B676F">
        <w:rPr>
          <w:rFonts w:eastAsia="Calibri" w:cs="Arial"/>
        </w:rPr>
        <w:t xml:space="preserve">address this </w:t>
      </w:r>
      <w:r w:rsidR="00954F8E">
        <w:rPr>
          <w:rFonts w:eastAsia="Calibri" w:cs="Arial"/>
        </w:rPr>
        <w:t>requirement the</w:t>
      </w:r>
      <w:r>
        <w:rPr>
          <w:rFonts w:eastAsia="Calibri" w:cs="Arial"/>
        </w:rPr>
        <w:t xml:space="preserve"> program</w:t>
      </w:r>
      <w:r w:rsidR="00D7667C">
        <w:rPr>
          <w:rFonts w:eastAsia="Calibri" w:cs="Arial"/>
        </w:rPr>
        <w:t>me</w:t>
      </w:r>
      <w:r>
        <w:rPr>
          <w:rFonts w:eastAsia="Calibri" w:cs="Arial"/>
        </w:rPr>
        <w:t xml:space="preserve"> will identify a </w:t>
      </w:r>
      <w:r w:rsidR="0015344E">
        <w:rPr>
          <w:rFonts w:eastAsia="Calibri" w:cs="Arial"/>
        </w:rPr>
        <w:t xml:space="preserve">priority </w:t>
      </w:r>
      <w:r>
        <w:rPr>
          <w:rFonts w:eastAsia="Calibri" w:cs="Arial"/>
        </w:rPr>
        <w:t>area of activity each year</w:t>
      </w:r>
      <w:r w:rsidR="005F41EE">
        <w:rPr>
          <w:rFonts w:eastAsia="Calibri" w:cs="Arial"/>
        </w:rPr>
        <w:t xml:space="preserve"> based on the outcomes and learning of the previous year, as well as the requirements of the Financial Inclusion Strategy</w:t>
      </w:r>
      <w:r>
        <w:rPr>
          <w:rFonts w:eastAsia="Calibri" w:cs="Arial"/>
        </w:rPr>
        <w:t xml:space="preserve">. </w:t>
      </w:r>
      <w:r w:rsidR="00D015C0">
        <w:rPr>
          <w:rFonts w:eastAsia="Calibri" w:cs="Arial"/>
        </w:rPr>
        <w:t>A</w:t>
      </w:r>
      <w:r w:rsidR="0015344E">
        <w:rPr>
          <w:rFonts w:eastAsia="Calibri" w:cs="Arial"/>
        </w:rPr>
        <w:t xml:space="preserve"> range of </w:t>
      </w:r>
      <w:r w:rsidR="008F4784">
        <w:rPr>
          <w:rFonts w:eastAsia="Calibri" w:cs="Arial"/>
        </w:rPr>
        <w:t>outcome targets</w:t>
      </w:r>
      <w:r>
        <w:rPr>
          <w:rFonts w:eastAsia="Calibri" w:cs="Arial"/>
        </w:rPr>
        <w:t xml:space="preserve"> will be set</w:t>
      </w:r>
      <w:r w:rsidR="00D015C0">
        <w:rPr>
          <w:rFonts w:eastAsia="Calibri" w:cs="Arial"/>
        </w:rPr>
        <w:t>.  However</w:t>
      </w:r>
      <w:r>
        <w:rPr>
          <w:rFonts w:eastAsia="Calibri" w:cs="Arial"/>
        </w:rPr>
        <w:t xml:space="preserve">, </w:t>
      </w:r>
      <w:r w:rsidR="0015344E">
        <w:rPr>
          <w:rFonts w:eastAsia="Calibri" w:cs="Arial"/>
        </w:rPr>
        <w:t xml:space="preserve">where priority outcomes are not met, a </w:t>
      </w:r>
      <w:r w:rsidR="0015344E">
        <w:rPr>
          <w:rFonts w:eastAsia="Calibri" w:cs="Arial"/>
        </w:rPr>
        <w:lastRenderedPageBreak/>
        <w:t xml:space="preserve">proportion of </w:t>
      </w:r>
      <w:r w:rsidR="00D015C0">
        <w:rPr>
          <w:rFonts w:eastAsia="Calibri" w:cs="Arial"/>
        </w:rPr>
        <w:t xml:space="preserve">future years </w:t>
      </w:r>
      <w:r w:rsidR="0015344E">
        <w:rPr>
          <w:rFonts w:eastAsia="Calibri" w:cs="Arial"/>
        </w:rPr>
        <w:t xml:space="preserve">funding may be </w:t>
      </w:r>
      <w:r w:rsidR="00D015C0">
        <w:rPr>
          <w:rFonts w:eastAsia="Calibri" w:cs="Arial"/>
        </w:rPr>
        <w:t xml:space="preserve">withheld </w:t>
      </w:r>
      <w:r w:rsidR="0049149A">
        <w:rPr>
          <w:rFonts w:eastAsia="Calibri" w:cs="Arial"/>
        </w:rPr>
        <w:t xml:space="preserve">and re allocated </w:t>
      </w:r>
      <w:r w:rsidR="0015344E">
        <w:rPr>
          <w:rFonts w:eastAsia="Calibri" w:cs="Arial"/>
        </w:rPr>
        <w:t xml:space="preserve">to enable these outcomes to be delivered. </w:t>
      </w:r>
    </w:p>
    <w:p w:rsidR="00275FD3" w:rsidRPr="00C05265" w:rsidRDefault="00275FD3" w:rsidP="005536B2">
      <w:pPr>
        <w:ind w:left="426"/>
        <w:rPr>
          <w:rFonts w:eastAsia="Calibri" w:cs="Arial"/>
        </w:rPr>
      </w:pPr>
    </w:p>
    <w:p w:rsidR="00BC0D74" w:rsidRPr="008F4784" w:rsidRDefault="00275FD3" w:rsidP="008F4784">
      <w:pPr>
        <w:numPr>
          <w:ilvl w:val="0"/>
          <w:numId w:val="6"/>
        </w:numPr>
        <w:ind w:left="426"/>
        <w:rPr>
          <w:rFonts w:eastAsia="Calibri" w:cs="Arial"/>
        </w:rPr>
      </w:pPr>
      <w:r w:rsidRPr="008F4784">
        <w:rPr>
          <w:rFonts w:eastAsia="Calibri" w:cs="Arial"/>
        </w:rPr>
        <w:t xml:space="preserve">The Council’s Financial Inclusion Strategy addresses the challenges posed by the impact of Welfare Reform and rising food and energy prices. For many people now, maximising benefit entitlement is no longer sufficient to enable them to pay their housing costs, heat their homes and </w:t>
      </w:r>
      <w:r w:rsidR="002E2ACD" w:rsidRPr="008F4784">
        <w:rPr>
          <w:rFonts w:eastAsia="Calibri" w:cs="Arial"/>
        </w:rPr>
        <w:t xml:space="preserve">feed their families, and debt is an increasing problem. </w:t>
      </w:r>
      <w:r w:rsidRPr="008F4784">
        <w:rPr>
          <w:rFonts w:eastAsia="Calibri" w:cs="Arial"/>
        </w:rPr>
        <w:t xml:space="preserve">Sustainable solutions are </w:t>
      </w:r>
      <w:r w:rsidR="00954F8E" w:rsidRPr="008F4784">
        <w:rPr>
          <w:rFonts w:eastAsia="Calibri" w:cs="Arial"/>
        </w:rPr>
        <w:t>required which</w:t>
      </w:r>
      <w:r w:rsidR="009A4A95" w:rsidRPr="008F4784">
        <w:rPr>
          <w:rFonts w:eastAsia="Calibri" w:cs="Arial"/>
        </w:rPr>
        <w:t xml:space="preserve"> include </w:t>
      </w:r>
      <w:r w:rsidRPr="008F4784">
        <w:rPr>
          <w:rFonts w:eastAsia="Calibri" w:cs="Arial"/>
        </w:rPr>
        <w:t>supporting people into employment,</w:t>
      </w:r>
      <w:r w:rsidR="001D00E9" w:rsidRPr="008F4784">
        <w:rPr>
          <w:rFonts w:eastAsia="Calibri" w:cs="Arial"/>
        </w:rPr>
        <w:t xml:space="preserve"> helping those in work look for better paid employment,</w:t>
      </w:r>
      <w:r w:rsidRPr="008F4784">
        <w:rPr>
          <w:rFonts w:eastAsia="Calibri" w:cs="Arial"/>
        </w:rPr>
        <w:t xml:space="preserve"> and equipping them with the necessary skills to manage their money. </w:t>
      </w:r>
    </w:p>
    <w:p w:rsidR="00FA4768" w:rsidRPr="00C05265" w:rsidRDefault="00FA4768" w:rsidP="00275FD3">
      <w:pPr>
        <w:rPr>
          <w:rFonts w:eastAsia="Calibri" w:cs="Arial"/>
        </w:rPr>
      </w:pPr>
    </w:p>
    <w:p w:rsidR="00275FD3" w:rsidRPr="00BC2E3B" w:rsidRDefault="00FA4768" w:rsidP="00275FD3">
      <w:pPr>
        <w:rPr>
          <w:rFonts w:eastAsia="Calibri" w:cs="Arial"/>
          <w:b/>
        </w:rPr>
      </w:pPr>
      <w:r>
        <w:rPr>
          <w:rFonts w:eastAsia="Calibri" w:cs="Arial"/>
          <w:b/>
        </w:rPr>
        <w:t>Outcomes a</w:t>
      </w:r>
      <w:r w:rsidRPr="00BC2E3B">
        <w:rPr>
          <w:rFonts w:eastAsia="Calibri" w:cs="Arial"/>
          <w:b/>
        </w:rPr>
        <w:t>nd Monitoring</w:t>
      </w:r>
    </w:p>
    <w:p w:rsidR="00DD43B7" w:rsidRDefault="00275FD3" w:rsidP="00DD43B7">
      <w:pPr>
        <w:numPr>
          <w:ilvl w:val="0"/>
          <w:numId w:val="6"/>
        </w:numPr>
        <w:ind w:left="426"/>
        <w:rPr>
          <w:rFonts w:eastAsia="Calibri" w:cs="Arial"/>
        </w:rPr>
      </w:pPr>
      <w:r w:rsidRPr="00BC2E3B">
        <w:rPr>
          <w:rFonts w:eastAsia="Calibri" w:cs="Arial"/>
        </w:rPr>
        <w:t>The</w:t>
      </w:r>
      <w:r w:rsidR="00FA0C10">
        <w:rPr>
          <w:rFonts w:eastAsia="Calibri" w:cs="Arial"/>
        </w:rPr>
        <w:t xml:space="preserve"> </w:t>
      </w:r>
      <w:r w:rsidR="00FA0C10">
        <w:t xml:space="preserve">main changes to the service specification for commissioned advice relate to the outcomes being commissioned and how they will be monitored, these are detailed in Section 2 of the Service Specification at Appendix 1.  The outcomes support the aims of the Financial Inclusion Strategy. </w:t>
      </w:r>
      <w:r w:rsidRPr="00BC2E3B">
        <w:rPr>
          <w:rFonts w:eastAsia="Calibri" w:cs="Arial"/>
        </w:rPr>
        <w:t xml:space="preserve"> </w:t>
      </w:r>
    </w:p>
    <w:p w:rsidR="00275FD3" w:rsidRPr="00855702" w:rsidRDefault="00275FD3" w:rsidP="005536B2">
      <w:pPr>
        <w:ind w:left="426"/>
        <w:rPr>
          <w:rFonts w:eastAsia="Calibri" w:cs="Arial"/>
        </w:rPr>
      </w:pPr>
    </w:p>
    <w:p w:rsidR="00882D2C" w:rsidRPr="00855702" w:rsidRDefault="002630F3" w:rsidP="005536B2">
      <w:pPr>
        <w:numPr>
          <w:ilvl w:val="0"/>
          <w:numId w:val="6"/>
        </w:numPr>
        <w:ind w:left="426"/>
        <w:rPr>
          <w:rFonts w:eastAsia="Calibri" w:cs="Arial"/>
        </w:rPr>
      </w:pPr>
      <w:r w:rsidRPr="008834EA">
        <w:rPr>
          <w:rFonts w:eastAsia="Calibri" w:cs="Arial"/>
        </w:rPr>
        <w:t xml:space="preserve">The City Council will work with the advice sector each year to review and agree outcomes for the following year and agree a priority area. </w:t>
      </w:r>
      <w:r w:rsidRPr="00855702">
        <w:rPr>
          <w:rFonts w:eastAsia="Calibri" w:cs="Arial"/>
        </w:rPr>
        <w:t>M</w:t>
      </w:r>
      <w:r w:rsidR="00275FD3" w:rsidRPr="00855702">
        <w:rPr>
          <w:rFonts w:eastAsia="Calibri" w:cs="Arial"/>
        </w:rPr>
        <w:t>onitoring information will be collected on a half yearly basis</w:t>
      </w:r>
      <w:r w:rsidR="0015344E">
        <w:rPr>
          <w:rFonts w:eastAsia="Calibri" w:cs="Arial"/>
        </w:rPr>
        <w:t>, with priority outcome activity being collected on a quarterly basis.</w:t>
      </w:r>
      <w:r w:rsidR="00275FD3" w:rsidRPr="00855702">
        <w:rPr>
          <w:rFonts w:eastAsia="Calibri" w:cs="Arial"/>
        </w:rPr>
        <w:t xml:space="preserve"> </w:t>
      </w:r>
      <w:r w:rsidR="00882D2C" w:rsidRPr="00855702">
        <w:rPr>
          <w:rFonts w:eastAsia="Calibri" w:cs="Arial"/>
        </w:rPr>
        <w:t xml:space="preserve">The Council will meet on site with each </w:t>
      </w:r>
      <w:r w:rsidR="00FA4768">
        <w:rPr>
          <w:rFonts w:eastAsia="Calibri" w:cs="Arial"/>
        </w:rPr>
        <w:t>o</w:t>
      </w:r>
      <w:r w:rsidR="00882D2C" w:rsidRPr="00855702">
        <w:rPr>
          <w:rFonts w:eastAsia="Calibri" w:cs="Arial"/>
        </w:rPr>
        <w:t xml:space="preserve">rganisation at least once every year.  The Council will also meet quarterly with all </w:t>
      </w:r>
      <w:r w:rsidR="00FA4768">
        <w:rPr>
          <w:rFonts w:eastAsia="Calibri" w:cs="Arial"/>
        </w:rPr>
        <w:t>o</w:t>
      </w:r>
      <w:r w:rsidR="00882D2C" w:rsidRPr="00855702">
        <w:rPr>
          <w:rFonts w:eastAsia="Calibri" w:cs="Arial"/>
        </w:rPr>
        <w:t>rganisations to review the trends identified in monitoring information, and to look for opportunities to improve service provision</w:t>
      </w:r>
      <w:r w:rsidR="003629E1">
        <w:rPr>
          <w:rFonts w:eastAsia="Calibri" w:cs="Arial"/>
        </w:rPr>
        <w:t xml:space="preserve"> both within the partnership and with other organisations</w:t>
      </w:r>
      <w:r w:rsidR="00882D2C" w:rsidRPr="00855702">
        <w:rPr>
          <w:rFonts w:eastAsia="Calibri" w:cs="Arial"/>
        </w:rPr>
        <w:t xml:space="preserve">.  Organisations will be required to attend the Voluntary Sector Liaison </w:t>
      </w:r>
      <w:r w:rsidR="00FA4768">
        <w:rPr>
          <w:rFonts w:eastAsia="Calibri" w:cs="Arial"/>
        </w:rPr>
        <w:t>m</w:t>
      </w:r>
      <w:r w:rsidR="00882D2C" w:rsidRPr="00855702">
        <w:rPr>
          <w:rFonts w:eastAsia="Calibri" w:cs="Arial"/>
        </w:rPr>
        <w:t xml:space="preserve">eetings organised by the Council, and City Council representatives will attend the Oxford Advice Forum. </w:t>
      </w:r>
    </w:p>
    <w:p w:rsidR="00882D2C" w:rsidRDefault="00882D2C" w:rsidP="00275FD3">
      <w:pPr>
        <w:rPr>
          <w:rFonts w:eastAsia="Calibri" w:cs="Arial"/>
        </w:rPr>
      </w:pPr>
    </w:p>
    <w:p w:rsidR="0015344E" w:rsidRPr="008F4784" w:rsidRDefault="0015344E" w:rsidP="008F4784">
      <w:pPr>
        <w:numPr>
          <w:ilvl w:val="0"/>
          <w:numId w:val="6"/>
        </w:numPr>
        <w:ind w:left="426"/>
        <w:rPr>
          <w:rFonts w:eastAsia="Calibri" w:cs="Arial"/>
        </w:rPr>
      </w:pPr>
      <w:r w:rsidRPr="008F4784">
        <w:rPr>
          <w:rFonts w:eastAsia="Calibri" w:cs="Arial"/>
        </w:rPr>
        <w:t xml:space="preserve">For 2015/16 the priority area </w:t>
      </w:r>
      <w:r w:rsidR="009B6B1E" w:rsidRPr="008F4784">
        <w:rPr>
          <w:rFonts w:eastAsia="Calibri" w:cs="Arial"/>
        </w:rPr>
        <w:t>is likely to be</w:t>
      </w:r>
      <w:r w:rsidRPr="008F4784">
        <w:rPr>
          <w:rFonts w:eastAsia="Calibri" w:cs="Arial"/>
        </w:rPr>
        <w:t xml:space="preserve"> the provision of financial capability training, in line with the Council’s Financial Inclusion Strategy. </w:t>
      </w:r>
      <w:r w:rsidR="009B6B1E" w:rsidRPr="008F4784">
        <w:rPr>
          <w:rFonts w:eastAsia="Calibri" w:cs="Arial"/>
        </w:rPr>
        <w:t xml:space="preserve">Discussions </w:t>
      </w:r>
      <w:r w:rsidR="009A0FD7" w:rsidRPr="008F4784">
        <w:rPr>
          <w:rFonts w:eastAsia="Calibri" w:cs="Arial"/>
        </w:rPr>
        <w:t xml:space="preserve">will continue to </w:t>
      </w:r>
      <w:r w:rsidR="009B6B1E" w:rsidRPr="008F4784">
        <w:rPr>
          <w:rFonts w:eastAsia="Calibri" w:cs="Arial"/>
        </w:rPr>
        <w:t>tak</w:t>
      </w:r>
      <w:r w:rsidR="009A0FD7" w:rsidRPr="008F4784">
        <w:rPr>
          <w:rFonts w:eastAsia="Calibri" w:cs="Arial"/>
        </w:rPr>
        <w:t xml:space="preserve">e </w:t>
      </w:r>
      <w:r w:rsidR="009B6B1E" w:rsidRPr="008F4784">
        <w:rPr>
          <w:rFonts w:eastAsia="Calibri" w:cs="Arial"/>
        </w:rPr>
        <w:t xml:space="preserve">place with the advice sector </w:t>
      </w:r>
      <w:r w:rsidR="009A0FD7" w:rsidRPr="008F4784">
        <w:rPr>
          <w:rFonts w:eastAsia="Calibri" w:cs="Arial"/>
        </w:rPr>
        <w:t>dur</w:t>
      </w:r>
      <w:r w:rsidR="009B6B1E" w:rsidRPr="008F4784">
        <w:rPr>
          <w:rFonts w:eastAsia="Calibri" w:cs="Arial"/>
        </w:rPr>
        <w:t>in</w:t>
      </w:r>
      <w:r w:rsidR="009A0FD7" w:rsidRPr="008F4784">
        <w:rPr>
          <w:rFonts w:eastAsia="Calibri" w:cs="Arial"/>
        </w:rPr>
        <w:t>g</w:t>
      </w:r>
      <w:r w:rsidR="009B6B1E" w:rsidRPr="008F4784">
        <w:rPr>
          <w:rFonts w:eastAsia="Calibri" w:cs="Arial"/>
        </w:rPr>
        <w:t xml:space="preserve"> September 2014 to agree the priority outcomes and measures, and to ensure that </w:t>
      </w:r>
      <w:r w:rsidR="009A0FD7" w:rsidRPr="008F4784">
        <w:rPr>
          <w:rFonts w:eastAsia="Calibri" w:cs="Arial"/>
        </w:rPr>
        <w:t>individual organisations</w:t>
      </w:r>
      <w:r w:rsidR="009B6B1E" w:rsidRPr="008F4784">
        <w:rPr>
          <w:rFonts w:eastAsia="Calibri" w:cs="Arial"/>
        </w:rPr>
        <w:t xml:space="preserve"> are able to fulfil the monitoring requirements.  In September each organisation will be asked to apply for their funding and put forward their proposals </w:t>
      </w:r>
      <w:r w:rsidR="00D817E8" w:rsidRPr="008F4784">
        <w:rPr>
          <w:rFonts w:eastAsia="Calibri" w:cs="Arial"/>
        </w:rPr>
        <w:t xml:space="preserve">regarding </w:t>
      </w:r>
      <w:r w:rsidR="009B6B1E" w:rsidRPr="008F4784">
        <w:rPr>
          <w:rFonts w:eastAsia="Calibri" w:cs="Arial"/>
        </w:rPr>
        <w:t>how they will deliver against the revised service specification.</w:t>
      </w:r>
    </w:p>
    <w:p w:rsidR="0015344E" w:rsidRPr="00855702" w:rsidRDefault="0015344E" w:rsidP="00275FD3">
      <w:pPr>
        <w:rPr>
          <w:rFonts w:eastAsia="Calibri" w:cs="Arial"/>
        </w:rPr>
      </w:pPr>
    </w:p>
    <w:p w:rsidR="00275FD3" w:rsidRPr="0038471D" w:rsidRDefault="00EE7931" w:rsidP="005536B2">
      <w:pPr>
        <w:numPr>
          <w:ilvl w:val="0"/>
          <w:numId w:val="6"/>
        </w:numPr>
        <w:ind w:left="426"/>
        <w:rPr>
          <w:rFonts w:eastAsia="Calibri" w:cs="Arial"/>
        </w:rPr>
      </w:pPr>
      <w:r>
        <w:rPr>
          <w:rFonts w:eastAsia="Calibri" w:cs="Arial"/>
        </w:rPr>
        <w:t>The City Council will work with any</w:t>
      </w:r>
      <w:r w:rsidR="00882D2C">
        <w:rPr>
          <w:rFonts w:eastAsia="Calibri" w:cs="Arial"/>
        </w:rPr>
        <w:t xml:space="preserve"> </w:t>
      </w:r>
      <w:r w:rsidR="00FA4768">
        <w:rPr>
          <w:rFonts w:eastAsia="Calibri" w:cs="Arial"/>
        </w:rPr>
        <w:t>o</w:t>
      </w:r>
      <w:r w:rsidR="00882D2C">
        <w:rPr>
          <w:rFonts w:eastAsia="Calibri" w:cs="Arial"/>
        </w:rPr>
        <w:t>rganisation</w:t>
      </w:r>
      <w:r w:rsidR="008834EA">
        <w:rPr>
          <w:rFonts w:eastAsia="Calibri" w:cs="Arial"/>
        </w:rPr>
        <w:t xml:space="preserve"> failing to meet its grant conditions or </w:t>
      </w:r>
      <w:r>
        <w:rPr>
          <w:rFonts w:eastAsia="Calibri" w:cs="Arial"/>
        </w:rPr>
        <w:t>having difficulty in delivering the outcomes</w:t>
      </w:r>
      <w:r w:rsidR="002630F3">
        <w:rPr>
          <w:rFonts w:eastAsia="Calibri" w:cs="Arial"/>
        </w:rPr>
        <w:t xml:space="preserve"> for the priority area</w:t>
      </w:r>
      <w:r>
        <w:rPr>
          <w:rFonts w:eastAsia="Calibri" w:cs="Arial"/>
        </w:rPr>
        <w:t xml:space="preserve">, and agree an action plan to improve the situation. </w:t>
      </w:r>
      <w:r w:rsidR="00882D2C">
        <w:rPr>
          <w:rFonts w:eastAsia="Calibri" w:cs="Arial"/>
        </w:rPr>
        <w:t xml:space="preserve"> </w:t>
      </w:r>
      <w:r w:rsidR="00275FD3" w:rsidRPr="00C05265">
        <w:rPr>
          <w:rFonts w:eastAsia="Calibri" w:cs="Arial"/>
        </w:rPr>
        <w:t xml:space="preserve">Organisations </w:t>
      </w:r>
      <w:r>
        <w:rPr>
          <w:rFonts w:eastAsia="Calibri" w:cs="Arial"/>
        </w:rPr>
        <w:t xml:space="preserve">that are not delivering the agreed outcomes </w:t>
      </w:r>
      <w:r w:rsidR="002630F3">
        <w:rPr>
          <w:rFonts w:eastAsia="Calibri" w:cs="Arial"/>
        </w:rPr>
        <w:t xml:space="preserve">for the priority area </w:t>
      </w:r>
      <w:r>
        <w:rPr>
          <w:rFonts w:eastAsia="Calibri" w:cs="Arial"/>
        </w:rPr>
        <w:t>by the end of any financial year ma</w:t>
      </w:r>
      <w:r w:rsidRPr="0038471D">
        <w:rPr>
          <w:rFonts w:eastAsia="Calibri" w:cs="Arial"/>
        </w:rPr>
        <w:t xml:space="preserve">y </w:t>
      </w:r>
      <w:r w:rsidR="00275FD3" w:rsidRPr="0038471D">
        <w:rPr>
          <w:rFonts w:eastAsia="Calibri" w:cs="Arial"/>
        </w:rPr>
        <w:t xml:space="preserve">not receive their full amount of funding </w:t>
      </w:r>
      <w:r w:rsidRPr="0038471D">
        <w:rPr>
          <w:rFonts w:eastAsia="Calibri" w:cs="Arial"/>
        </w:rPr>
        <w:t xml:space="preserve">in </w:t>
      </w:r>
      <w:r w:rsidR="00275FD3" w:rsidRPr="0038471D">
        <w:rPr>
          <w:rFonts w:eastAsia="Calibri" w:cs="Arial"/>
        </w:rPr>
        <w:t xml:space="preserve">subsequent years. Officers will submit a report to CEB with recommendations for the amount of funding to be provided in such circumstances. </w:t>
      </w:r>
    </w:p>
    <w:p w:rsidR="00275FD3" w:rsidRPr="0038471D" w:rsidRDefault="00275FD3" w:rsidP="005536B2">
      <w:pPr>
        <w:ind w:left="426"/>
        <w:rPr>
          <w:rFonts w:eastAsia="Calibri" w:cs="Arial"/>
        </w:rPr>
      </w:pPr>
    </w:p>
    <w:p w:rsidR="000A5E76" w:rsidRPr="000A5E76" w:rsidRDefault="000A5E76" w:rsidP="000A5E76">
      <w:pPr>
        <w:rPr>
          <w:rFonts w:eastAsia="Calibri" w:cs="Arial"/>
        </w:rPr>
      </w:pPr>
    </w:p>
    <w:p w:rsidR="002630F3" w:rsidRPr="00C05265" w:rsidRDefault="002630F3" w:rsidP="005536B2">
      <w:pPr>
        <w:numPr>
          <w:ilvl w:val="0"/>
          <w:numId w:val="6"/>
        </w:numPr>
        <w:ind w:left="426"/>
        <w:rPr>
          <w:rFonts w:eastAsia="Calibri" w:cs="Arial"/>
        </w:rPr>
      </w:pPr>
      <w:r w:rsidRPr="0081685C">
        <w:rPr>
          <w:rFonts w:eastAsia="Calibri" w:cs="Arial"/>
        </w:rPr>
        <w:lastRenderedPageBreak/>
        <w:t xml:space="preserve">The monitoring sheet used to collect customer information and details of outcomes has been updated and is attached at Appendix </w:t>
      </w:r>
      <w:r w:rsidR="008834EA">
        <w:rPr>
          <w:rFonts w:eastAsia="Calibri" w:cs="Arial"/>
        </w:rPr>
        <w:t>2</w:t>
      </w:r>
      <w:r w:rsidRPr="0081685C">
        <w:rPr>
          <w:rFonts w:eastAsia="Calibri" w:cs="Arial"/>
        </w:rPr>
        <w:t>.</w:t>
      </w:r>
      <w:r w:rsidRPr="00C05265">
        <w:rPr>
          <w:rFonts w:eastAsia="Calibri" w:cs="Arial"/>
        </w:rPr>
        <w:t xml:space="preserve">  </w:t>
      </w:r>
      <w:r w:rsidR="009B6B1E">
        <w:rPr>
          <w:rFonts w:eastAsia="Calibri" w:cs="Arial"/>
        </w:rPr>
        <w:t xml:space="preserve">This may be subject to some final changes </w:t>
      </w:r>
      <w:r w:rsidR="009B067D">
        <w:rPr>
          <w:rFonts w:eastAsia="Calibri" w:cs="Arial"/>
        </w:rPr>
        <w:t xml:space="preserve">following detailed discussions </w:t>
      </w:r>
      <w:r w:rsidR="009B6B1E">
        <w:rPr>
          <w:rFonts w:eastAsia="Calibri" w:cs="Arial"/>
        </w:rPr>
        <w:t xml:space="preserve">with the advice agencies and meetings with the County Council in September.  </w:t>
      </w:r>
      <w:r w:rsidRPr="00C05265">
        <w:rPr>
          <w:rFonts w:eastAsia="Calibri" w:cs="Arial"/>
        </w:rPr>
        <w:t>Officers will provide annual monitoring reports to CEB on advice sector performance.</w:t>
      </w:r>
    </w:p>
    <w:p w:rsidR="00275FD3" w:rsidRPr="00C05265" w:rsidRDefault="00275FD3" w:rsidP="00275FD3">
      <w:pPr>
        <w:rPr>
          <w:rFonts w:eastAsia="Calibri" w:cs="Arial"/>
        </w:rPr>
      </w:pPr>
    </w:p>
    <w:p w:rsidR="00275FD3" w:rsidRPr="002E2ACD" w:rsidRDefault="00C52F2D" w:rsidP="00275FD3">
      <w:pPr>
        <w:rPr>
          <w:rFonts w:eastAsia="Calibri" w:cs="Arial"/>
          <w:b/>
        </w:rPr>
      </w:pPr>
      <w:r>
        <w:rPr>
          <w:rFonts w:eastAsia="Calibri" w:cs="Arial"/>
          <w:b/>
        </w:rPr>
        <w:t>Timescale a</w:t>
      </w:r>
      <w:r w:rsidRPr="002E2ACD">
        <w:rPr>
          <w:rFonts w:eastAsia="Calibri" w:cs="Arial"/>
          <w:b/>
        </w:rPr>
        <w:t>nd Application Process</w:t>
      </w:r>
    </w:p>
    <w:p w:rsidR="00275FD3" w:rsidRPr="00C05265" w:rsidRDefault="00275FD3" w:rsidP="00D75B53">
      <w:pPr>
        <w:numPr>
          <w:ilvl w:val="0"/>
          <w:numId w:val="6"/>
        </w:numPr>
        <w:ind w:left="426" w:hanging="426"/>
        <w:rPr>
          <w:rFonts w:eastAsia="Calibri" w:cs="Arial"/>
        </w:rPr>
      </w:pPr>
      <w:r w:rsidRPr="00C05265">
        <w:rPr>
          <w:rFonts w:eastAsia="Calibri" w:cs="Arial"/>
        </w:rPr>
        <w:t>The following process will be used to ag</w:t>
      </w:r>
      <w:r w:rsidR="00C52F2D">
        <w:rPr>
          <w:rFonts w:eastAsia="Calibri" w:cs="Arial"/>
        </w:rPr>
        <w:t>ree funding to organisations fro</w:t>
      </w:r>
      <w:r w:rsidRPr="00C05265">
        <w:rPr>
          <w:rFonts w:eastAsia="Calibri" w:cs="Arial"/>
        </w:rPr>
        <w:t>m the advice sector.</w:t>
      </w:r>
    </w:p>
    <w:p w:rsidR="00275FD3" w:rsidRPr="00C05265" w:rsidRDefault="00275FD3" w:rsidP="00275FD3">
      <w:pPr>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4244"/>
      </w:tblGrid>
      <w:tr w:rsidR="00275FD3" w:rsidRPr="002F46DA" w:rsidTr="008147DF">
        <w:tc>
          <w:tcPr>
            <w:tcW w:w="4257" w:type="dxa"/>
            <w:shd w:val="clear" w:color="auto" w:fill="auto"/>
          </w:tcPr>
          <w:p w:rsidR="00275FD3" w:rsidRPr="002F46DA" w:rsidRDefault="00275FD3" w:rsidP="002F46DA">
            <w:pPr>
              <w:jc w:val="center"/>
              <w:rPr>
                <w:rFonts w:eastAsia="Calibri" w:cs="Arial"/>
                <w:b/>
              </w:rPr>
            </w:pPr>
            <w:r w:rsidRPr="002F46DA">
              <w:rPr>
                <w:rFonts w:eastAsia="Calibri" w:cs="Arial"/>
                <w:b/>
              </w:rPr>
              <w:t>Date</w:t>
            </w:r>
          </w:p>
        </w:tc>
        <w:tc>
          <w:tcPr>
            <w:tcW w:w="4265" w:type="dxa"/>
            <w:shd w:val="clear" w:color="auto" w:fill="auto"/>
          </w:tcPr>
          <w:p w:rsidR="00275FD3" w:rsidRPr="002F46DA" w:rsidRDefault="00275FD3" w:rsidP="002F46DA">
            <w:pPr>
              <w:jc w:val="center"/>
              <w:rPr>
                <w:rFonts w:eastAsia="Calibri" w:cs="Arial"/>
                <w:b/>
              </w:rPr>
            </w:pPr>
            <w:r w:rsidRPr="002F46DA">
              <w:rPr>
                <w:rFonts w:eastAsia="Calibri" w:cs="Arial"/>
                <w:b/>
              </w:rPr>
              <w:t>Action</w:t>
            </w:r>
          </w:p>
        </w:tc>
      </w:tr>
      <w:tr w:rsidR="00275FD3" w:rsidRPr="002F46DA" w:rsidTr="008147DF">
        <w:tc>
          <w:tcPr>
            <w:tcW w:w="4257" w:type="dxa"/>
            <w:shd w:val="clear" w:color="auto" w:fill="auto"/>
          </w:tcPr>
          <w:p w:rsidR="00275FD3" w:rsidRPr="002F46DA" w:rsidRDefault="00275FD3" w:rsidP="00275FD3">
            <w:pPr>
              <w:rPr>
                <w:rFonts w:eastAsia="Calibri" w:cs="Arial"/>
              </w:rPr>
            </w:pPr>
            <w:r w:rsidRPr="002F46DA">
              <w:rPr>
                <w:rFonts w:eastAsia="Calibri" w:cs="Arial"/>
              </w:rPr>
              <w:t>Week commencing 15 September 2014</w:t>
            </w:r>
          </w:p>
        </w:tc>
        <w:tc>
          <w:tcPr>
            <w:tcW w:w="4265" w:type="dxa"/>
            <w:shd w:val="clear" w:color="auto" w:fill="auto"/>
          </w:tcPr>
          <w:p w:rsidR="00275FD3" w:rsidRPr="002F46DA" w:rsidRDefault="00275FD3" w:rsidP="00275FD3">
            <w:pPr>
              <w:rPr>
                <w:rFonts w:eastAsia="Calibri" w:cs="Arial"/>
              </w:rPr>
            </w:pPr>
            <w:r w:rsidRPr="002F46DA">
              <w:rPr>
                <w:rFonts w:eastAsia="Calibri" w:cs="Arial"/>
              </w:rPr>
              <w:t>Written invitation to organisations to apply for funding</w:t>
            </w:r>
          </w:p>
        </w:tc>
      </w:tr>
      <w:tr w:rsidR="00275FD3" w:rsidRPr="002F46DA" w:rsidTr="008147DF">
        <w:tc>
          <w:tcPr>
            <w:tcW w:w="4257" w:type="dxa"/>
            <w:shd w:val="clear" w:color="auto" w:fill="auto"/>
          </w:tcPr>
          <w:p w:rsidR="00275FD3" w:rsidRPr="002F46DA" w:rsidRDefault="00275FD3" w:rsidP="00275FD3">
            <w:pPr>
              <w:rPr>
                <w:rFonts w:eastAsia="Calibri" w:cs="Arial"/>
              </w:rPr>
            </w:pPr>
            <w:r w:rsidRPr="002F46DA">
              <w:rPr>
                <w:rFonts w:eastAsia="Calibri" w:cs="Arial"/>
              </w:rPr>
              <w:t>31 October  2014</w:t>
            </w:r>
          </w:p>
        </w:tc>
        <w:tc>
          <w:tcPr>
            <w:tcW w:w="4265" w:type="dxa"/>
            <w:shd w:val="clear" w:color="auto" w:fill="auto"/>
          </w:tcPr>
          <w:p w:rsidR="00275FD3" w:rsidRPr="002F46DA" w:rsidRDefault="00275FD3" w:rsidP="00275FD3">
            <w:pPr>
              <w:rPr>
                <w:rFonts w:eastAsia="Calibri" w:cs="Arial"/>
              </w:rPr>
            </w:pPr>
            <w:r w:rsidRPr="002F46DA">
              <w:rPr>
                <w:rFonts w:eastAsia="Calibri" w:cs="Arial"/>
              </w:rPr>
              <w:t>Deadline for responses</w:t>
            </w:r>
          </w:p>
        </w:tc>
      </w:tr>
      <w:tr w:rsidR="00275FD3" w:rsidRPr="002F46DA" w:rsidTr="008147DF">
        <w:tc>
          <w:tcPr>
            <w:tcW w:w="4257" w:type="dxa"/>
            <w:shd w:val="clear" w:color="auto" w:fill="auto"/>
          </w:tcPr>
          <w:p w:rsidR="00275FD3" w:rsidRPr="002F46DA" w:rsidRDefault="00275FD3" w:rsidP="00275FD3">
            <w:pPr>
              <w:rPr>
                <w:rFonts w:eastAsia="Calibri" w:cs="Arial"/>
              </w:rPr>
            </w:pPr>
            <w:r w:rsidRPr="002F46DA">
              <w:rPr>
                <w:rFonts w:eastAsia="Calibri" w:cs="Arial"/>
              </w:rPr>
              <w:t>3 November 2014 – 21 November 2014</w:t>
            </w:r>
          </w:p>
        </w:tc>
        <w:tc>
          <w:tcPr>
            <w:tcW w:w="4265" w:type="dxa"/>
            <w:shd w:val="clear" w:color="auto" w:fill="auto"/>
          </w:tcPr>
          <w:p w:rsidR="00275FD3" w:rsidRPr="002F46DA" w:rsidRDefault="00275FD3" w:rsidP="00275FD3">
            <w:pPr>
              <w:rPr>
                <w:rFonts w:eastAsia="Calibri" w:cs="Arial"/>
              </w:rPr>
            </w:pPr>
            <w:r w:rsidRPr="002F46DA">
              <w:rPr>
                <w:rFonts w:eastAsia="Calibri" w:cs="Arial"/>
              </w:rPr>
              <w:t>Council will seek clarification on responses where required</w:t>
            </w:r>
          </w:p>
        </w:tc>
      </w:tr>
      <w:tr w:rsidR="00275FD3" w:rsidRPr="002F46DA" w:rsidTr="008147DF">
        <w:tc>
          <w:tcPr>
            <w:tcW w:w="4257" w:type="dxa"/>
            <w:shd w:val="clear" w:color="auto" w:fill="auto"/>
          </w:tcPr>
          <w:p w:rsidR="00275FD3" w:rsidRPr="002F46DA" w:rsidRDefault="00954F8E" w:rsidP="00954F8E">
            <w:pPr>
              <w:rPr>
                <w:rFonts w:eastAsia="Calibri" w:cs="Arial"/>
              </w:rPr>
            </w:pPr>
            <w:r w:rsidRPr="002F46DA">
              <w:rPr>
                <w:rFonts w:eastAsia="Calibri" w:cs="Arial"/>
              </w:rPr>
              <w:t>1</w:t>
            </w:r>
            <w:r>
              <w:rPr>
                <w:rFonts w:eastAsia="Calibri" w:cs="Arial"/>
              </w:rPr>
              <w:t>1</w:t>
            </w:r>
            <w:r w:rsidRPr="002F46DA">
              <w:rPr>
                <w:rFonts w:eastAsia="Calibri" w:cs="Arial"/>
              </w:rPr>
              <w:t xml:space="preserve"> </w:t>
            </w:r>
            <w:r w:rsidR="00275FD3" w:rsidRPr="002F46DA">
              <w:rPr>
                <w:rFonts w:eastAsia="Calibri" w:cs="Arial"/>
              </w:rPr>
              <w:t>February 2015</w:t>
            </w:r>
          </w:p>
        </w:tc>
        <w:tc>
          <w:tcPr>
            <w:tcW w:w="4265" w:type="dxa"/>
            <w:shd w:val="clear" w:color="auto" w:fill="auto"/>
          </w:tcPr>
          <w:p w:rsidR="00275FD3" w:rsidRPr="002F46DA" w:rsidRDefault="00275FD3" w:rsidP="00275FD3">
            <w:pPr>
              <w:rPr>
                <w:rFonts w:eastAsia="Calibri" w:cs="Arial"/>
              </w:rPr>
            </w:pPr>
            <w:r w:rsidRPr="002F46DA">
              <w:rPr>
                <w:rFonts w:eastAsia="Calibri" w:cs="Arial"/>
              </w:rPr>
              <w:t>CEB to consider report</w:t>
            </w:r>
          </w:p>
        </w:tc>
      </w:tr>
    </w:tbl>
    <w:p w:rsidR="00275FD3" w:rsidRPr="00C05265" w:rsidRDefault="00275FD3">
      <w:pPr>
        <w:rPr>
          <w:rFonts w:cs="Arial"/>
        </w:rPr>
      </w:pPr>
    </w:p>
    <w:p w:rsidR="00BC0D74" w:rsidRDefault="00C52F2D">
      <w:pPr>
        <w:rPr>
          <w:rFonts w:cs="Arial"/>
          <w:b/>
        </w:rPr>
      </w:pPr>
      <w:r w:rsidRPr="00F91103">
        <w:rPr>
          <w:rFonts w:cs="Arial"/>
          <w:b/>
        </w:rPr>
        <w:t>Risk</w:t>
      </w:r>
    </w:p>
    <w:p w:rsidR="00F91103" w:rsidRDefault="00F91103" w:rsidP="00AF053A">
      <w:pPr>
        <w:numPr>
          <w:ilvl w:val="0"/>
          <w:numId w:val="6"/>
        </w:numPr>
        <w:ind w:left="426" w:hanging="426"/>
        <w:rPr>
          <w:rFonts w:cs="Arial"/>
        </w:rPr>
      </w:pPr>
      <w:r w:rsidRPr="00F91103">
        <w:rPr>
          <w:rFonts w:cs="Arial"/>
        </w:rPr>
        <w:t>A risk reg</w:t>
      </w:r>
      <w:r w:rsidR="00A03989">
        <w:rPr>
          <w:rFonts w:cs="Arial"/>
        </w:rPr>
        <w:t xml:space="preserve">ister is attached at Appendix </w:t>
      </w:r>
      <w:r w:rsidR="008834EA">
        <w:rPr>
          <w:rFonts w:cs="Arial"/>
        </w:rPr>
        <w:t>4.</w:t>
      </w:r>
    </w:p>
    <w:p w:rsidR="007A353F" w:rsidRDefault="007A353F">
      <w:pPr>
        <w:rPr>
          <w:rFonts w:cs="Arial"/>
        </w:rPr>
      </w:pPr>
    </w:p>
    <w:p w:rsidR="007A353F" w:rsidRDefault="00C52F2D">
      <w:pPr>
        <w:rPr>
          <w:rFonts w:cs="Arial"/>
          <w:b/>
        </w:rPr>
      </w:pPr>
      <w:r w:rsidRPr="007A353F">
        <w:rPr>
          <w:rFonts w:cs="Arial"/>
          <w:b/>
        </w:rPr>
        <w:t>Climate Change</w:t>
      </w:r>
    </w:p>
    <w:p w:rsidR="00C05265" w:rsidRDefault="00C05265" w:rsidP="00D75B53">
      <w:pPr>
        <w:numPr>
          <w:ilvl w:val="0"/>
          <w:numId w:val="6"/>
        </w:numPr>
        <w:ind w:left="426" w:hanging="426"/>
        <w:rPr>
          <w:rFonts w:cs="Arial"/>
        </w:rPr>
      </w:pPr>
      <w:r w:rsidRPr="00C05265">
        <w:rPr>
          <w:rFonts w:cs="Arial"/>
        </w:rPr>
        <w:t xml:space="preserve">There </w:t>
      </w:r>
      <w:proofErr w:type="gramStart"/>
      <w:r w:rsidR="00C52F2D">
        <w:rPr>
          <w:rFonts w:cs="Arial"/>
        </w:rPr>
        <w:t>are</w:t>
      </w:r>
      <w:r w:rsidR="00C52F2D" w:rsidRPr="00C05265">
        <w:rPr>
          <w:rFonts w:cs="Arial"/>
        </w:rPr>
        <w:t xml:space="preserve"> no significant climate change</w:t>
      </w:r>
      <w:proofErr w:type="gramEnd"/>
      <w:r w:rsidRPr="00C05265">
        <w:rPr>
          <w:rFonts w:cs="Arial"/>
        </w:rPr>
        <w:t xml:space="preserve"> or environmental impact issues</w:t>
      </w:r>
      <w:r>
        <w:rPr>
          <w:rFonts w:cs="Arial"/>
        </w:rPr>
        <w:t xml:space="preserve"> </w:t>
      </w:r>
      <w:r w:rsidRPr="00C05265">
        <w:rPr>
          <w:rFonts w:cs="Arial"/>
        </w:rPr>
        <w:t xml:space="preserve">related to this report; however organisations funded through the </w:t>
      </w:r>
      <w:r>
        <w:rPr>
          <w:rFonts w:cs="Arial"/>
        </w:rPr>
        <w:t>commissioning p</w:t>
      </w:r>
      <w:bookmarkStart w:id="0" w:name="_GoBack"/>
      <w:bookmarkEnd w:id="0"/>
      <w:r>
        <w:rPr>
          <w:rFonts w:cs="Arial"/>
        </w:rPr>
        <w:t>rocess</w:t>
      </w:r>
      <w:r w:rsidRPr="00C05265">
        <w:rPr>
          <w:rFonts w:cs="Arial"/>
        </w:rPr>
        <w:t xml:space="preserve"> are encouraged to be responsible when considering any</w:t>
      </w:r>
      <w:r>
        <w:rPr>
          <w:rFonts w:cs="Arial"/>
        </w:rPr>
        <w:t xml:space="preserve"> </w:t>
      </w:r>
      <w:r w:rsidRPr="00C05265">
        <w:rPr>
          <w:rFonts w:cs="Arial"/>
        </w:rPr>
        <w:t>impact on the environment.</w:t>
      </w:r>
    </w:p>
    <w:p w:rsidR="00C05265" w:rsidRDefault="00C05265" w:rsidP="00C05265">
      <w:pPr>
        <w:rPr>
          <w:rFonts w:cs="Arial"/>
        </w:rPr>
      </w:pPr>
    </w:p>
    <w:p w:rsidR="002E2ACD" w:rsidRDefault="00C52F2D" w:rsidP="00C05265">
      <w:pPr>
        <w:rPr>
          <w:rFonts w:cs="Arial"/>
          <w:b/>
        </w:rPr>
      </w:pPr>
      <w:r w:rsidRPr="00C05265">
        <w:rPr>
          <w:rFonts w:cs="Arial"/>
          <w:b/>
        </w:rPr>
        <w:t>Equalities Impact</w:t>
      </w:r>
    </w:p>
    <w:p w:rsidR="00C05265" w:rsidRDefault="00C05265" w:rsidP="00D75B53">
      <w:pPr>
        <w:numPr>
          <w:ilvl w:val="0"/>
          <w:numId w:val="6"/>
        </w:numPr>
        <w:ind w:left="426" w:hanging="426"/>
        <w:rPr>
          <w:rFonts w:cs="Arial"/>
        </w:rPr>
      </w:pPr>
      <w:r w:rsidRPr="00C05265">
        <w:rPr>
          <w:rFonts w:cs="Arial"/>
        </w:rPr>
        <w:t xml:space="preserve">Each organisation funded through the </w:t>
      </w:r>
      <w:r>
        <w:rPr>
          <w:rFonts w:cs="Arial"/>
        </w:rPr>
        <w:t xml:space="preserve">commissioning process </w:t>
      </w:r>
      <w:r w:rsidRPr="00C05265">
        <w:rPr>
          <w:rFonts w:cs="Arial"/>
        </w:rPr>
        <w:t>has to</w:t>
      </w:r>
      <w:r>
        <w:rPr>
          <w:rFonts w:cs="Arial"/>
        </w:rPr>
        <w:t xml:space="preserve"> </w:t>
      </w:r>
      <w:r w:rsidRPr="00C05265">
        <w:rPr>
          <w:rFonts w:cs="Arial"/>
        </w:rPr>
        <w:t>provide their equal opportunities policy or statement to confirm they</w:t>
      </w:r>
      <w:r>
        <w:rPr>
          <w:rFonts w:cs="Arial"/>
        </w:rPr>
        <w:t xml:space="preserve"> </w:t>
      </w:r>
      <w:r w:rsidRPr="00C05265">
        <w:rPr>
          <w:rFonts w:cs="Arial"/>
        </w:rPr>
        <w:t>comply with this legislation.</w:t>
      </w:r>
    </w:p>
    <w:p w:rsidR="00C05265" w:rsidRPr="00C05265" w:rsidRDefault="00C05265" w:rsidP="00C05265">
      <w:pPr>
        <w:rPr>
          <w:rFonts w:cs="Arial"/>
        </w:rPr>
      </w:pPr>
    </w:p>
    <w:p w:rsidR="00C05265" w:rsidRDefault="00553252" w:rsidP="00D75B53">
      <w:pPr>
        <w:numPr>
          <w:ilvl w:val="0"/>
          <w:numId w:val="6"/>
        </w:numPr>
        <w:ind w:left="426" w:hanging="426"/>
        <w:rPr>
          <w:rFonts w:cs="Arial"/>
        </w:rPr>
      </w:pPr>
      <w:r>
        <w:rPr>
          <w:rFonts w:cs="Arial"/>
        </w:rPr>
        <w:t xml:space="preserve">The </w:t>
      </w:r>
      <w:r w:rsidR="00C52F2D">
        <w:rPr>
          <w:rFonts w:cs="Arial"/>
        </w:rPr>
        <w:t>o</w:t>
      </w:r>
      <w:r>
        <w:rPr>
          <w:rFonts w:cs="Arial"/>
        </w:rPr>
        <w:t>utcomes commissioned from the advice sector are consistent with the priorities set out in the Council’s Financial Inclusion Strategy which was i</w:t>
      </w:r>
      <w:r w:rsidR="00C52F2D">
        <w:rPr>
          <w:rFonts w:cs="Arial"/>
        </w:rPr>
        <w:t>tself subject to an Equalities Impact A</w:t>
      </w:r>
      <w:r>
        <w:rPr>
          <w:rFonts w:cs="Arial"/>
        </w:rPr>
        <w:t>ssessment.</w:t>
      </w:r>
    </w:p>
    <w:p w:rsidR="00C05265" w:rsidRDefault="00C05265" w:rsidP="002B5F2F">
      <w:pPr>
        <w:ind w:left="426"/>
        <w:rPr>
          <w:rFonts w:cs="Arial"/>
        </w:rPr>
      </w:pPr>
    </w:p>
    <w:p w:rsidR="00C05265" w:rsidRDefault="00C52F2D" w:rsidP="00C05265">
      <w:pPr>
        <w:rPr>
          <w:rFonts w:cs="Arial"/>
          <w:b/>
        </w:rPr>
      </w:pPr>
      <w:r w:rsidRPr="00C05265">
        <w:rPr>
          <w:rFonts w:cs="Arial"/>
          <w:b/>
        </w:rPr>
        <w:t>Financial Implications</w:t>
      </w:r>
    </w:p>
    <w:p w:rsidR="00C05265" w:rsidRDefault="00C05265" w:rsidP="00D75B53">
      <w:pPr>
        <w:numPr>
          <w:ilvl w:val="0"/>
          <w:numId w:val="6"/>
        </w:numPr>
        <w:ind w:left="426" w:hanging="426"/>
        <w:rPr>
          <w:rFonts w:cs="Arial"/>
        </w:rPr>
      </w:pPr>
      <w:r w:rsidRPr="00C05265">
        <w:rPr>
          <w:rFonts w:cs="Arial"/>
        </w:rPr>
        <w:t xml:space="preserve">This report sets out the rationale for </w:t>
      </w:r>
      <w:r w:rsidR="00ED5D67">
        <w:rPr>
          <w:rFonts w:cs="Arial"/>
        </w:rPr>
        <w:t xml:space="preserve">commissioned </w:t>
      </w:r>
      <w:r w:rsidR="00381730">
        <w:rPr>
          <w:rFonts w:cs="Arial"/>
        </w:rPr>
        <w:t>advice for</w:t>
      </w:r>
      <w:r w:rsidR="00ED5D67">
        <w:rPr>
          <w:rFonts w:cs="Arial"/>
        </w:rPr>
        <w:t xml:space="preserve"> the period </w:t>
      </w:r>
      <w:r w:rsidRPr="00C05265">
        <w:rPr>
          <w:rFonts w:cs="Arial"/>
        </w:rPr>
        <w:t>201</w:t>
      </w:r>
      <w:r>
        <w:rPr>
          <w:rFonts w:cs="Arial"/>
        </w:rPr>
        <w:t>5</w:t>
      </w:r>
      <w:r w:rsidRPr="00C05265">
        <w:rPr>
          <w:rFonts w:cs="Arial"/>
        </w:rPr>
        <w:t xml:space="preserve"> to 2018. The value of</w:t>
      </w:r>
      <w:r>
        <w:rPr>
          <w:rFonts w:cs="Arial"/>
        </w:rPr>
        <w:t xml:space="preserve"> </w:t>
      </w:r>
      <w:r w:rsidRPr="00C05265">
        <w:rPr>
          <w:rFonts w:cs="Arial"/>
        </w:rPr>
        <w:t xml:space="preserve">each </w:t>
      </w:r>
      <w:r>
        <w:rPr>
          <w:rFonts w:cs="Arial"/>
        </w:rPr>
        <w:t>year’s funding</w:t>
      </w:r>
      <w:r w:rsidRPr="00C05265">
        <w:rPr>
          <w:rFonts w:cs="Arial"/>
        </w:rPr>
        <w:t xml:space="preserve"> will be confirmed following the budget-setting</w:t>
      </w:r>
      <w:r>
        <w:rPr>
          <w:rFonts w:cs="Arial"/>
        </w:rPr>
        <w:t xml:space="preserve"> </w:t>
      </w:r>
      <w:r w:rsidRPr="00C05265">
        <w:rPr>
          <w:rFonts w:cs="Arial"/>
        </w:rPr>
        <w:t>process. In common with all public sector bodies and following</w:t>
      </w:r>
      <w:r>
        <w:rPr>
          <w:rFonts w:cs="Arial"/>
        </w:rPr>
        <w:t xml:space="preserve"> </w:t>
      </w:r>
      <w:r w:rsidRPr="00C05265">
        <w:rPr>
          <w:rFonts w:cs="Arial"/>
        </w:rPr>
        <w:t>decisions taken by national government, the Council expects to have</w:t>
      </w:r>
      <w:r>
        <w:rPr>
          <w:rFonts w:cs="Arial"/>
        </w:rPr>
        <w:t xml:space="preserve"> </w:t>
      </w:r>
      <w:r w:rsidRPr="00C05265">
        <w:rPr>
          <w:rFonts w:cs="Arial"/>
        </w:rPr>
        <w:t>less funding in future, and so will need to make decisions about the</w:t>
      </w:r>
      <w:r w:rsidR="000F2B70">
        <w:rPr>
          <w:rFonts w:cs="Arial"/>
        </w:rPr>
        <w:t xml:space="preserve"> </w:t>
      </w:r>
      <w:r w:rsidRPr="00C05265">
        <w:rPr>
          <w:rFonts w:cs="Arial"/>
        </w:rPr>
        <w:t>si</w:t>
      </w:r>
      <w:r>
        <w:rPr>
          <w:rFonts w:cs="Arial"/>
        </w:rPr>
        <w:t>ze of resource allocated to the</w:t>
      </w:r>
      <w:r w:rsidRPr="00C05265">
        <w:rPr>
          <w:rFonts w:cs="Arial"/>
        </w:rPr>
        <w:t xml:space="preserve"> sector in that context. </w:t>
      </w:r>
      <w:r w:rsidR="00F80F40">
        <w:rPr>
          <w:rFonts w:cs="Arial"/>
        </w:rPr>
        <w:t xml:space="preserve">Cuts to the funding of the </w:t>
      </w:r>
      <w:r w:rsidR="00C52F2D">
        <w:rPr>
          <w:rFonts w:cs="Arial"/>
        </w:rPr>
        <w:t>a</w:t>
      </w:r>
      <w:r w:rsidR="00F80F40">
        <w:rPr>
          <w:rFonts w:cs="Arial"/>
        </w:rPr>
        <w:t xml:space="preserve">dvice </w:t>
      </w:r>
      <w:r w:rsidR="00C52F2D">
        <w:rPr>
          <w:rFonts w:cs="Arial"/>
        </w:rPr>
        <w:t>s</w:t>
      </w:r>
      <w:r w:rsidR="00F80F40">
        <w:rPr>
          <w:rFonts w:cs="Arial"/>
        </w:rPr>
        <w:t>ector elsewhere mean that the security provided by a three year funding program</w:t>
      </w:r>
      <w:r w:rsidR="00C52F2D">
        <w:rPr>
          <w:rFonts w:cs="Arial"/>
        </w:rPr>
        <w:t>me</w:t>
      </w:r>
      <w:r w:rsidR="00F80F40">
        <w:rPr>
          <w:rFonts w:cs="Arial"/>
        </w:rPr>
        <w:t xml:space="preserve"> </w:t>
      </w:r>
      <w:r w:rsidR="00381730">
        <w:rPr>
          <w:rFonts w:cs="Arial"/>
        </w:rPr>
        <w:t>is</w:t>
      </w:r>
      <w:r w:rsidR="00F80F40">
        <w:rPr>
          <w:rFonts w:cs="Arial"/>
        </w:rPr>
        <w:t xml:space="preserve"> desirable. </w:t>
      </w:r>
      <w:r w:rsidR="009D45B1">
        <w:rPr>
          <w:rFonts w:cs="Arial"/>
        </w:rPr>
        <w:t xml:space="preserve">The funding given to the commissioned advice sector for the single financial year 2014/15 is £498,379, </w:t>
      </w:r>
    </w:p>
    <w:p w:rsidR="00C05265" w:rsidRPr="00C05265" w:rsidRDefault="00C05265" w:rsidP="002B5F2F">
      <w:pPr>
        <w:ind w:left="426"/>
        <w:rPr>
          <w:rFonts w:cs="Arial"/>
        </w:rPr>
      </w:pPr>
    </w:p>
    <w:p w:rsidR="00C05265" w:rsidRPr="00C52F2D" w:rsidRDefault="00D75B53" w:rsidP="00D75B53">
      <w:pPr>
        <w:numPr>
          <w:ilvl w:val="0"/>
          <w:numId w:val="6"/>
        </w:numPr>
        <w:tabs>
          <w:tab w:val="left" w:pos="426"/>
        </w:tabs>
        <w:ind w:left="567" w:hanging="567"/>
        <w:rPr>
          <w:rFonts w:cs="Arial"/>
        </w:rPr>
      </w:pPr>
      <w:r>
        <w:rPr>
          <w:rFonts w:cs="Arial"/>
        </w:rPr>
        <w:lastRenderedPageBreak/>
        <w:t xml:space="preserve">  </w:t>
      </w:r>
      <w:r w:rsidR="00C05265" w:rsidRPr="00C05265">
        <w:rPr>
          <w:rFonts w:cs="Arial"/>
        </w:rPr>
        <w:t>Community and voluntary organisations funded by the City Council are</w:t>
      </w:r>
      <w:r w:rsidR="00C52F2D">
        <w:rPr>
          <w:rFonts w:cs="Arial"/>
        </w:rPr>
        <w:t xml:space="preserve"> </w:t>
      </w:r>
      <w:r w:rsidR="00C05265" w:rsidRPr="00C52F2D">
        <w:rPr>
          <w:rFonts w:cs="Arial"/>
        </w:rPr>
        <w:t>monitored to ensure funding awarded to them is spent for the purpose</w:t>
      </w:r>
      <w:r w:rsidR="00C52F2D">
        <w:rPr>
          <w:rFonts w:cs="Arial"/>
        </w:rPr>
        <w:t xml:space="preserve"> </w:t>
      </w:r>
      <w:r w:rsidR="00C05265" w:rsidRPr="00C52F2D">
        <w:rPr>
          <w:rFonts w:cs="Arial"/>
        </w:rPr>
        <w:t>i</w:t>
      </w:r>
      <w:r w:rsidR="00C52F2D" w:rsidRPr="00C52F2D">
        <w:rPr>
          <w:rFonts w:cs="Arial"/>
        </w:rPr>
        <w:t>nten</w:t>
      </w:r>
      <w:r w:rsidR="000F2B70" w:rsidRPr="00C52F2D">
        <w:rPr>
          <w:rFonts w:cs="Arial"/>
        </w:rPr>
        <w:t>ded</w:t>
      </w:r>
      <w:r w:rsidR="00C05265" w:rsidRPr="00C52F2D">
        <w:rPr>
          <w:rFonts w:cs="Arial"/>
        </w:rPr>
        <w:t>.</w:t>
      </w:r>
      <w:r w:rsidR="00F80F40" w:rsidRPr="00C52F2D">
        <w:rPr>
          <w:rFonts w:cs="Arial"/>
        </w:rPr>
        <w:t xml:space="preserve"> Quarterly monitoring will commence from the start of the new agreement period.</w:t>
      </w:r>
    </w:p>
    <w:p w:rsidR="00C05265" w:rsidRDefault="00C05265" w:rsidP="00C05265">
      <w:pPr>
        <w:rPr>
          <w:rFonts w:cs="Arial"/>
        </w:rPr>
      </w:pPr>
    </w:p>
    <w:p w:rsidR="00C05265" w:rsidRPr="00C52F2D" w:rsidRDefault="00C52F2D" w:rsidP="00C05265">
      <w:pPr>
        <w:rPr>
          <w:rFonts w:cs="Arial"/>
          <w:b/>
        </w:rPr>
      </w:pPr>
      <w:r w:rsidRPr="00C52F2D">
        <w:rPr>
          <w:rFonts w:cs="Arial"/>
          <w:b/>
        </w:rPr>
        <w:t>Legal Implications</w:t>
      </w:r>
    </w:p>
    <w:p w:rsidR="00C05265" w:rsidRDefault="00C05265" w:rsidP="00D75B53">
      <w:pPr>
        <w:numPr>
          <w:ilvl w:val="0"/>
          <w:numId w:val="6"/>
        </w:numPr>
        <w:ind w:left="567" w:hanging="567"/>
        <w:rPr>
          <w:rFonts w:cs="Arial"/>
        </w:rPr>
      </w:pPr>
      <w:r w:rsidRPr="00C05265">
        <w:rPr>
          <w:rFonts w:cs="Arial"/>
        </w:rPr>
        <w:t>Oxford City Council will be taking steps to notify all community and</w:t>
      </w:r>
      <w:r>
        <w:rPr>
          <w:rFonts w:cs="Arial"/>
        </w:rPr>
        <w:t xml:space="preserve"> </w:t>
      </w:r>
      <w:r w:rsidRPr="00C05265">
        <w:rPr>
          <w:rFonts w:cs="Arial"/>
        </w:rPr>
        <w:t>voluntary sector funding recipients that their funding is coming to an</w:t>
      </w:r>
      <w:r>
        <w:rPr>
          <w:rFonts w:cs="Arial"/>
        </w:rPr>
        <w:t xml:space="preserve"> </w:t>
      </w:r>
      <w:r w:rsidRPr="00C05265">
        <w:rPr>
          <w:rFonts w:cs="Arial"/>
        </w:rPr>
        <w:t>end and that future funding for the coming financial years is not</w:t>
      </w:r>
      <w:r>
        <w:rPr>
          <w:rFonts w:cs="Arial"/>
        </w:rPr>
        <w:t xml:space="preserve"> </w:t>
      </w:r>
      <w:r w:rsidRPr="00C05265">
        <w:rPr>
          <w:rFonts w:cs="Arial"/>
        </w:rPr>
        <w:t>guaranteed or secure</w:t>
      </w:r>
      <w:r w:rsidR="008147DF">
        <w:rPr>
          <w:rFonts w:cs="Arial"/>
        </w:rPr>
        <w:t xml:space="preserve">. </w:t>
      </w:r>
    </w:p>
    <w:p w:rsidR="00C05265" w:rsidRPr="00C05265" w:rsidRDefault="00C05265" w:rsidP="002B5F2F">
      <w:pPr>
        <w:ind w:left="426"/>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9"/>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275FD3">
              <w:t>: Paul Wilding</w:t>
            </w:r>
          </w:p>
        </w:tc>
      </w:tr>
      <w:tr w:rsidR="00713675">
        <w:tc>
          <w:tcPr>
            <w:tcW w:w="8522" w:type="dxa"/>
          </w:tcPr>
          <w:p w:rsidR="00713675" w:rsidRDefault="00713675" w:rsidP="00855C66">
            <w:pPr>
              <w:tabs>
                <w:tab w:val="left" w:pos="720"/>
                <w:tab w:val="left" w:pos="1440"/>
                <w:tab w:val="left" w:pos="2160"/>
                <w:tab w:val="left" w:pos="2880"/>
              </w:tabs>
            </w:pPr>
            <w:r>
              <w:t>Job title</w:t>
            </w:r>
            <w:r w:rsidR="00275FD3">
              <w:t>: Revenues &amp; Benefits Programme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275FD3">
              <w:t>: Customer Services</w:t>
            </w:r>
          </w:p>
        </w:tc>
      </w:tr>
      <w:tr w:rsidR="00713675">
        <w:tc>
          <w:tcPr>
            <w:tcW w:w="8522" w:type="dxa"/>
          </w:tcPr>
          <w:p w:rsidR="00713675" w:rsidRDefault="00713675" w:rsidP="00275FD3">
            <w:pPr>
              <w:tabs>
                <w:tab w:val="left" w:pos="720"/>
                <w:tab w:val="left" w:pos="1440"/>
                <w:tab w:val="left" w:pos="2160"/>
                <w:tab w:val="left" w:pos="2880"/>
              </w:tabs>
              <w:rPr>
                <w:color w:val="0000FF"/>
                <w:u w:val="single"/>
              </w:rPr>
            </w:pPr>
            <w:r>
              <w:t xml:space="preserve">Tel:  01865 </w:t>
            </w:r>
            <w:r w:rsidR="00275FD3">
              <w:t>252461</w:t>
            </w:r>
            <w:r>
              <w:t xml:space="preserve">  e-mail:  </w:t>
            </w:r>
            <w:r w:rsidR="00275FD3">
              <w:t>pwilding@oxford.gov.uk</w:t>
            </w:r>
          </w:p>
        </w:tc>
      </w:tr>
    </w:tbl>
    <w:p w:rsidR="00F4367A" w:rsidRDefault="00F4367A">
      <w:pPr>
        <w:rPr>
          <w:rFonts w:cs="Arial"/>
          <w:b/>
          <w:bCs/>
          <w:sz w:val="20"/>
        </w:rPr>
      </w:pPr>
    </w:p>
    <w:p w:rsidR="00623C2F" w:rsidRPr="00623C2F" w:rsidRDefault="00F4367A">
      <w:pPr>
        <w:rPr>
          <w:rFonts w:cs="Arial"/>
          <w:bCs/>
          <w:i/>
        </w:rPr>
      </w:pPr>
      <w:r>
        <w:rPr>
          <w:rFonts w:cs="Arial"/>
          <w:b/>
          <w:bCs/>
        </w:rPr>
        <w:t xml:space="preserve">List of background papers: </w:t>
      </w:r>
      <w:r w:rsidR="00C52F2D" w:rsidRPr="00C52F2D">
        <w:rPr>
          <w:rFonts w:cs="Arial"/>
          <w:bCs/>
        </w:rPr>
        <w:t>None</w:t>
      </w:r>
    </w:p>
    <w:p w:rsidR="00F4367A" w:rsidRDefault="00F4367A">
      <w:pPr>
        <w:rPr>
          <w:b/>
          <w:bCs/>
        </w:rPr>
      </w:pPr>
    </w:p>
    <w:sectPr w:rsidR="00F4367A" w:rsidSect="002B5F2F">
      <w:pgSz w:w="11906" w:h="16838"/>
      <w:pgMar w:top="1440" w:right="1800" w:bottom="1440" w:left="1843"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07" w:rsidRDefault="00881A07">
      <w:r>
        <w:separator/>
      </w:r>
    </w:p>
  </w:endnote>
  <w:endnote w:type="continuationSeparator" w:id="0">
    <w:p w:rsidR="00881A07" w:rsidRDefault="008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07" w:rsidRDefault="00881A07">
      <w:r>
        <w:separator/>
      </w:r>
    </w:p>
  </w:footnote>
  <w:footnote w:type="continuationSeparator" w:id="0">
    <w:p w:rsidR="00881A07" w:rsidRDefault="00881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630"/>
    <w:multiLevelType w:val="hybridMultilevel"/>
    <w:tmpl w:val="63EA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9547E"/>
    <w:multiLevelType w:val="hybridMultilevel"/>
    <w:tmpl w:val="975E833C"/>
    <w:lvl w:ilvl="0" w:tplc="F328CDA2">
      <w:start w:val="1"/>
      <w:numFmt w:val="decimal"/>
      <w:lvlText w:val="%1."/>
      <w:lvlJc w:val="left"/>
      <w:pPr>
        <w:ind w:left="74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04269"/>
    <w:multiLevelType w:val="hybridMultilevel"/>
    <w:tmpl w:val="DEFCE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04431"/>
    <w:multiLevelType w:val="hybridMultilevel"/>
    <w:tmpl w:val="B9E4FAC6"/>
    <w:lvl w:ilvl="0" w:tplc="F328C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007CF"/>
    <w:multiLevelType w:val="hybridMultilevel"/>
    <w:tmpl w:val="2B38750E"/>
    <w:lvl w:ilvl="0" w:tplc="204C694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A15E9"/>
    <w:multiLevelType w:val="hybridMultilevel"/>
    <w:tmpl w:val="884A10E4"/>
    <w:lvl w:ilvl="0" w:tplc="8D1AB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56532C"/>
    <w:multiLevelType w:val="hybridMultilevel"/>
    <w:tmpl w:val="DCB6B116"/>
    <w:lvl w:ilvl="0" w:tplc="6C64ABA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D6D5D"/>
    <w:multiLevelType w:val="hybridMultilevel"/>
    <w:tmpl w:val="19985000"/>
    <w:lvl w:ilvl="0" w:tplc="D492636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3D637E"/>
    <w:multiLevelType w:val="hybridMultilevel"/>
    <w:tmpl w:val="4562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C7506"/>
    <w:multiLevelType w:val="hybridMultilevel"/>
    <w:tmpl w:val="5C4E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11289"/>
    <w:multiLevelType w:val="hybridMultilevel"/>
    <w:tmpl w:val="AEE4E126"/>
    <w:lvl w:ilvl="0" w:tplc="6D08510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610944"/>
    <w:multiLevelType w:val="hybridMultilevel"/>
    <w:tmpl w:val="53F0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5C76CE"/>
    <w:multiLevelType w:val="hybridMultilevel"/>
    <w:tmpl w:val="32BE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30382"/>
    <w:multiLevelType w:val="hybridMultilevel"/>
    <w:tmpl w:val="44F289CA"/>
    <w:lvl w:ilvl="0" w:tplc="124EB69A">
      <w:start w:val="2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6AF177A0"/>
    <w:multiLevelType w:val="hybridMultilevel"/>
    <w:tmpl w:val="8F48483A"/>
    <w:lvl w:ilvl="0" w:tplc="CC509A0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E8058E"/>
    <w:multiLevelType w:val="hybridMultilevel"/>
    <w:tmpl w:val="AAC496D0"/>
    <w:lvl w:ilvl="0" w:tplc="F328C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9"/>
  </w:num>
  <w:num w:numId="5">
    <w:abstractNumId w:val="12"/>
  </w:num>
  <w:num w:numId="6">
    <w:abstractNumId w:val="1"/>
  </w:num>
  <w:num w:numId="7">
    <w:abstractNumId w:val="10"/>
  </w:num>
  <w:num w:numId="8">
    <w:abstractNumId w:val="2"/>
  </w:num>
  <w:num w:numId="9">
    <w:abstractNumId w:val="5"/>
  </w:num>
  <w:num w:numId="10">
    <w:abstractNumId w:val="6"/>
  </w:num>
  <w:num w:numId="11">
    <w:abstractNumId w:val="4"/>
  </w:num>
  <w:num w:numId="12">
    <w:abstractNumId w:val="15"/>
  </w:num>
  <w:num w:numId="13">
    <w:abstractNumId w:val="7"/>
  </w:num>
  <w:num w:numId="14">
    <w:abstractNumId w:val="14"/>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A2992"/>
    <w:rsid w:val="000A5E76"/>
    <w:rsid w:val="000B2998"/>
    <w:rsid w:val="000C3928"/>
    <w:rsid w:val="000E2EC5"/>
    <w:rsid w:val="000E3F72"/>
    <w:rsid w:val="000F2B70"/>
    <w:rsid w:val="00126D50"/>
    <w:rsid w:val="001435A9"/>
    <w:rsid w:val="0015344E"/>
    <w:rsid w:val="0016539A"/>
    <w:rsid w:val="001D00E9"/>
    <w:rsid w:val="00232231"/>
    <w:rsid w:val="002340F7"/>
    <w:rsid w:val="00245EA1"/>
    <w:rsid w:val="00251F1E"/>
    <w:rsid w:val="002630F3"/>
    <w:rsid w:val="00275FD3"/>
    <w:rsid w:val="002B5F2F"/>
    <w:rsid w:val="002B676F"/>
    <w:rsid w:val="002E2ACD"/>
    <w:rsid w:val="002F46DA"/>
    <w:rsid w:val="00316FC9"/>
    <w:rsid w:val="0032099B"/>
    <w:rsid w:val="00331B5D"/>
    <w:rsid w:val="003629E1"/>
    <w:rsid w:val="00381730"/>
    <w:rsid w:val="0038471D"/>
    <w:rsid w:val="003D39DE"/>
    <w:rsid w:val="00454593"/>
    <w:rsid w:val="004623EF"/>
    <w:rsid w:val="00465EAF"/>
    <w:rsid w:val="00472045"/>
    <w:rsid w:val="0049149A"/>
    <w:rsid w:val="00496FB3"/>
    <w:rsid w:val="004E3ED8"/>
    <w:rsid w:val="004F3179"/>
    <w:rsid w:val="00516103"/>
    <w:rsid w:val="00525110"/>
    <w:rsid w:val="0052634D"/>
    <w:rsid w:val="00534702"/>
    <w:rsid w:val="00544811"/>
    <w:rsid w:val="00553252"/>
    <w:rsid w:val="005536B2"/>
    <w:rsid w:val="00582807"/>
    <w:rsid w:val="005B0835"/>
    <w:rsid w:val="005D3CC6"/>
    <w:rsid w:val="005F2836"/>
    <w:rsid w:val="005F41EE"/>
    <w:rsid w:val="00623C2F"/>
    <w:rsid w:val="00652A7C"/>
    <w:rsid w:val="00685439"/>
    <w:rsid w:val="006F416B"/>
    <w:rsid w:val="00707115"/>
    <w:rsid w:val="00713675"/>
    <w:rsid w:val="00767A1C"/>
    <w:rsid w:val="00785189"/>
    <w:rsid w:val="007A353F"/>
    <w:rsid w:val="008147DF"/>
    <w:rsid w:val="0081685C"/>
    <w:rsid w:val="00855702"/>
    <w:rsid w:val="00855C66"/>
    <w:rsid w:val="00866E0D"/>
    <w:rsid w:val="008815EF"/>
    <w:rsid w:val="00881A07"/>
    <w:rsid w:val="00882D2C"/>
    <w:rsid w:val="008834EA"/>
    <w:rsid w:val="008D3814"/>
    <w:rsid w:val="008D3DDB"/>
    <w:rsid w:val="008E2784"/>
    <w:rsid w:val="008F4784"/>
    <w:rsid w:val="009100A5"/>
    <w:rsid w:val="00921ECA"/>
    <w:rsid w:val="00930EEE"/>
    <w:rsid w:val="00954F8E"/>
    <w:rsid w:val="00955BD0"/>
    <w:rsid w:val="00971689"/>
    <w:rsid w:val="00973E90"/>
    <w:rsid w:val="009A0FD7"/>
    <w:rsid w:val="009A2193"/>
    <w:rsid w:val="009A4A95"/>
    <w:rsid w:val="009B067D"/>
    <w:rsid w:val="009B1304"/>
    <w:rsid w:val="009B6B1E"/>
    <w:rsid w:val="009B7FFE"/>
    <w:rsid w:val="009C1794"/>
    <w:rsid w:val="009D45B1"/>
    <w:rsid w:val="00A03989"/>
    <w:rsid w:val="00A22CEA"/>
    <w:rsid w:val="00A27D2B"/>
    <w:rsid w:val="00A7647F"/>
    <w:rsid w:val="00A92D8F"/>
    <w:rsid w:val="00AA2F6F"/>
    <w:rsid w:val="00AD1E34"/>
    <w:rsid w:val="00AD3292"/>
    <w:rsid w:val="00AE5AB8"/>
    <w:rsid w:val="00AF053A"/>
    <w:rsid w:val="00AF200F"/>
    <w:rsid w:val="00B35AFA"/>
    <w:rsid w:val="00B36366"/>
    <w:rsid w:val="00B50B54"/>
    <w:rsid w:val="00B6118C"/>
    <w:rsid w:val="00BC0D74"/>
    <w:rsid w:val="00BC2E3B"/>
    <w:rsid w:val="00BD6CC3"/>
    <w:rsid w:val="00BF3489"/>
    <w:rsid w:val="00BF7453"/>
    <w:rsid w:val="00C049BE"/>
    <w:rsid w:val="00C05265"/>
    <w:rsid w:val="00C2692F"/>
    <w:rsid w:val="00C52F2D"/>
    <w:rsid w:val="00CE0841"/>
    <w:rsid w:val="00CF34A2"/>
    <w:rsid w:val="00D015C0"/>
    <w:rsid w:val="00D1447A"/>
    <w:rsid w:val="00D47F98"/>
    <w:rsid w:val="00D6381B"/>
    <w:rsid w:val="00D75B53"/>
    <w:rsid w:val="00D7667C"/>
    <w:rsid w:val="00D817E8"/>
    <w:rsid w:val="00DD42AA"/>
    <w:rsid w:val="00DD43B7"/>
    <w:rsid w:val="00DD70E3"/>
    <w:rsid w:val="00DF20A8"/>
    <w:rsid w:val="00E01F42"/>
    <w:rsid w:val="00E762DE"/>
    <w:rsid w:val="00EA0DB1"/>
    <w:rsid w:val="00ED2B23"/>
    <w:rsid w:val="00ED5D67"/>
    <w:rsid w:val="00EE511B"/>
    <w:rsid w:val="00EE7931"/>
    <w:rsid w:val="00F26C84"/>
    <w:rsid w:val="00F3028B"/>
    <w:rsid w:val="00F4367A"/>
    <w:rsid w:val="00F52808"/>
    <w:rsid w:val="00F7606D"/>
    <w:rsid w:val="00F80F40"/>
    <w:rsid w:val="00F860C7"/>
    <w:rsid w:val="00F8762D"/>
    <w:rsid w:val="00F91103"/>
    <w:rsid w:val="00FA0C10"/>
    <w:rsid w:val="00FA4768"/>
    <w:rsid w:val="00FA624C"/>
    <w:rsid w:val="00FD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275F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E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275F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E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C2503567.dotm</Template>
  <TotalTime>1</TotalTime>
  <Pages>5</Pages>
  <Words>1471</Words>
  <Characters>8157</Characters>
  <Application>Microsoft Office Word</Application>
  <DocSecurity>0</DocSecurity>
  <Lines>263</Lines>
  <Paragraphs>123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3</cp:revision>
  <cp:lastPrinted>2014-08-28T12:37:00Z</cp:lastPrinted>
  <dcterms:created xsi:type="dcterms:W3CDTF">2014-09-02T09:09:00Z</dcterms:created>
  <dcterms:modified xsi:type="dcterms:W3CDTF">2014-09-02T09:09:00Z</dcterms:modified>
</cp:coreProperties>
</file>